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65" w:rsidRDefault="003D0E65" w:rsidP="003D0E65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81" name="Picture 8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E65" w:rsidRDefault="003D0E65" w:rsidP="003D0E65">
      <w:pPr>
        <w:jc w:val="center"/>
        <w:rPr>
          <w:lang w:val="sr-Latn-CS"/>
        </w:rPr>
      </w:pPr>
    </w:p>
    <w:p w:rsidR="003D0E65" w:rsidRDefault="003D0E65" w:rsidP="003D0E65">
      <w:pPr>
        <w:jc w:val="center"/>
        <w:rPr>
          <w:lang w:val="sr-Latn-CS"/>
        </w:rPr>
      </w:pPr>
    </w:p>
    <w:p w:rsidR="00DE6A4F" w:rsidRDefault="00DE6A4F" w:rsidP="00DE6A4F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DE6A4F" w:rsidRPr="00A06B01" w:rsidRDefault="00DE6A4F" w:rsidP="00DE6A4F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Pr="00F76921">
        <w:t xml:space="preserve"> </w:t>
      </w:r>
      <w:r w:rsidR="000118ED" w:rsidRPr="000118ED">
        <w:rPr>
          <w:rFonts w:cs="Arial"/>
          <w:sz w:val="24"/>
          <w:szCs w:val="24"/>
          <w:lang w:val="sr-Cyrl-CS"/>
        </w:rPr>
        <w:t>ЕВАЛУАЦИЈА И ПЛАНИРАЊЕ ЗДРАВСТВЕНИХ СЕРВИСА</w:t>
      </w:r>
      <w:r w:rsidRPr="00DE6A4F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Pr="006C5056" w:rsidRDefault="00DE6A4F" w:rsidP="00DE6A4F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>Предавање број</w:t>
      </w:r>
      <w:r w:rsidR="00552B30">
        <w:rPr>
          <w:sz w:val="24"/>
          <w:szCs w:val="24"/>
        </w:rPr>
        <w:t xml:space="preserve"> </w:t>
      </w:r>
      <w:r w:rsidR="000B5BFF">
        <w:rPr>
          <w:sz w:val="24"/>
          <w:szCs w:val="24"/>
          <w:lang w:val="sr-Cyrl-CS"/>
        </w:rPr>
        <w:t>3</w:t>
      </w:r>
    </w:p>
    <w:p w:rsidR="00DE6A4F" w:rsidRPr="00A06B01" w:rsidRDefault="00DE6A4F" w:rsidP="00DE6A4F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514204">
        <w:rPr>
          <w:b/>
          <w:sz w:val="28"/>
          <w:szCs w:val="28"/>
        </w:rPr>
        <w:t xml:space="preserve"> </w:t>
      </w:r>
      <w:r w:rsidR="00514204" w:rsidRPr="00514204">
        <w:rPr>
          <w:b/>
          <w:sz w:val="28"/>
          <w:szCs w:val="28"/>
        </w:rPr>
        <w:t>ТИПОВИ ЕВАЛУАЦИЈЕ И ПИРАМИДА ЈАВНОГ ЗДРАВЉА</w:t>
      </w:r>
      <w:r w:rsidRPr="009A6F83"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DE6A4F" w:rsidRPr="00501FDC" w:rsidTr="00CB046F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552B30" w:rsidRPr="00D7079D" w:rsidTr="00CB046F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30" w:rsidRPr="000B5BFF" w:rsidRDefault="00552B30" w:rsidP="00CB046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30" w:rsidRPr="002706F0" w:rsidRDefault="000D7B25" w:rsidP="005F41EB">
            <w:pPr>
              <w:jc w:val="left"/>
              <w:rPr>
                <w:rFonts w:cs="Arial"/>
                <w:lang w:val="sr-Latn-CS"/>
              </w:rPr>
            </w:pPr>
            <w:r>
              <w:rPr>
                <w:rFonts w:cs="Arial"/>
              </w:rPr>
              <w:t>Контекст развоја и евалуације</w:t>
            </w:r>
            <w:r w:rsidR="00552B30" w:rsidRPr="002706F0">
              <w:rPr>
                <w:rFonts w:cs="Arial"/>
              </w:rPr>
              <w:t xml:space="preserve"> здравственог програма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30" w:rsidRPr="00552B30" w:rsidRDefault="00CB2B26" w:rsidP="00CB2B26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473E0A">
              <w:rPr>
                <w:rFonts w:cs="Arial"/>
              </w:rPr>
              <w:t>Типови евалуација</w:t>
            </w:r>
            <w:r>
              <w:rPr>
                <w:rFonts w:cs="Arial"/>
              </w:rPr>
              <w:t xml:space="preserve">. </w:t>
            </w:r>
            <w:r w:rsidRPr="00473E0A">
              <w:rPr>
                <w:rFonts w:cs="Arial"/>
              </w:rPr>
              <w:t>Пирамида јавног здравља</w:t>
            </w:r>
            <w:r>
              <w:rPr>
                <w:rFonts w:cs="Arial"/>
              </w:rPr>
              <w:t xml:space="preserve">. </w:t>
            </w:r>
            <w:r w:rsidRPr="00473E0A">
              <w:rPr>
                <w:rFonts w:cs="Arial"/>
              </w:rPr>
              <w:t>Здравствени програми, пројекти и услуге</w:t>
            </w:r>
            <w:r>
              <w:rPr>
                <w:rFonts w:cs="Arial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30" w:rsidRPr="00473E0A" w:rsidRDefault="00CB2B26" w:rsidP="00F57034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>
              <w:rPr>
                <w:rFonts w:cs="Arial"/>
              </w:rPr>
              <w:t>Упознавање са типовима евалуације и п</w:t>
            </w:r>
            <w:r w:rsidRPr="00473E0A">
              <w:rPr>
                <w:rFonts w:cs="Arial"/>
              </w:rPr>
              <w:t>ирамид</w:t>
            </w:r>
            <w:r>
              <w:rPr>
                <w:rFonts w:cs="Arial"/>
              </w:rPr>
              <w:t>е</w:t>
            </w:r>
            <w:r w:rsidRPr="00473E0A">
              <w:rPr>
                <w:rFonts w:cs="Arial"/>
              </w:rPr>
              <w:t xml:space="preserve"> јавног здравља</w:t>
            </w:r>
            <w:r>
              <w:rPr>
                <w:rFonts w:cs="Arial"/>
              </w:rPr>
              <w:t>.</w:t>
            </w:r>
          </w:p>
        </w:tc>
      </w:tr>
    </w:tbl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F63D4C" w:rsidRDefault="00F63D4C" w:rsidP="003D0E65">
      <w:pPr>
        <w:jc w:val="center"/>
        <w:rPr>
          <w:b/>
          <w:sz w:val="24"/>
          <w:szCs w:val="24"/>
        </w:rPr>
      </w:pPr>
    </w:p>
    <w:p w:rsidR="00F63D4C" w:rsidRPr="00F63D4C" w:rsidRDefault="00F63D4C" w:rsidP="003D0E65">
      <w:pPr>
        <w:jc w:val="center"/>
        <w:rPr>
          <w:b/>
          <w:sz w:val="24"/>
          <w:szCs w:val="24"/>
        </w:rPr>
      </w:pPr>
    </w:p>
    <w:p w:rsidR="003D0E65" w:rsidRPr="00E64EF0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5E1B2A" w:rsidRPr="00A06B01" w:rsidRDefault="005E1B2A" w:rsidP="005E1B2A">
      <w:pPr>
        <w:rPr>
          <w:sz w:val="16"/>
          <w:szCs w:val="16"/>
          <w:lang w:val="sr-Latn-CS"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</w:t>
      </w:r>
      <w:r w:rsidR="000118ED">
        <w:rPr>
          <w:sz w:val="16"/>
          <w:szCs w:val="16"/>
          <w:lang w:eastAsia="ar-SA"/>
        </w:rPr>
        <w:t>9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proofErr w:type="gramEnd"/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5E1B2A" w:rsidRDefault="005E1B2A" w:rsidP="005E1B2A">
      <w:pPr>
        <w:rPr>
          <w:sz w:val="16"/>
          <w:szCs w:val="16"/>
          <w:lang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0118ED">
        <w:rPr>
          <w:sz w:val="16"/>
          <w:szCs w:val="16"/>
          <w:lang w:eastAsia="ar-SA"/>
        </w:rPr>
        <w:t>9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>of University of Kragujevac</w:t>
      </w:r>
      <w:r w:rsidRPr="00A06B01">
        <w:rPr>
          <w:sz w:val="16"/>
          <w:szCs w:val="16"/>
          <w:lang w:eastAsia="ar-SA"/>
        </w:rPr>
        <w:t>.</w:t>
      </w:r>
      <w:proofErr w:type="gramEnd"/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</w:t>
      </w:r>
      <w:proofErr w:type="gramStart"/>
      <w:r>
        <w:rPr>
          <w:sz w:val="16"/>
          <w:szCs w:val="16"/>
          <w:lang w:eastAsia="ar-SA"/>
        </w:rPr>
        <w:t>,</w:t>
      </w:r>
      <w:r>
        <w:rPr>
          <w:sz w:val="16"/>
          <w:szCs w:val="16"/>
          <w:lang w:val="sr-Cyrl-CS" w:eastAsia="ar-SA"/>
        </w:rPr>
        <w:t>,</w:t>
      </w:r>
      <w:proofErr w:type="gramEnd"/>
      <w:r>
        <w:rPr>
          <w:sz w:val="16"/>
          <w:szCs w:val="16"/>
          <w:lang w:val="sr-Cyrl-CS" w:eastAsia="ar-SA"/>
        </w:rPr>
        <w:t xml:space="preserve">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>
        <w:rPr>
          <w:sz w:val="16"/>
          <w:szCs w:val="16"/>
          <w:lang w:eastAsia="ar-SA"/>
        </w:rPr>
        <w:t xml:space="preserve">. </w:t>
      </w:r>
    </w:p>
    <w:p w:rsidR="003D0E65" w:rsidRDefault="003D0E65" w:rsidP="003D0E65"/>
    <w:p w:rsidR="003D0E65" w:rsidRDefault="003D0E65" w:rsidP="003D0E65"/>
    <w:p w:rsidR="00FE0C15" w:rsidRDefault="00FE0C15" w:rsidP="003D0E65"/>
    <w:p w:rsidR="00FE0C15" w:rsidRPr="00FE0C15" w:rsidRDefault="00FE0C15" w:rsidP="003D0E65"/>
    <w:p w:rsidR="003D0E65" w:rsidRPr="001C1BB4" w:rsidRDefault="001C1BB4" w:rsidP="001C1BB4">
      <w:pPr>
        <w:jc w:val="center"/>
        <w:rPr>
          <w:b/>
          <w:sz w:val="24"/>
          <w:szCs w:val="24"/>
        </w:rPr>
      </w:pPr>
      <w:r w:rsidRPr="001C1BB4">
        <w:rPr>
          <w:b/>
          <w:sz w:val="24"/>
          <w:szCs w:val="24"/>
        </w:rPr>
        <w:t>САДРЖАЈ</w:t>
      </w:r>
    </w:p>
    <w:p w:rsidR="003D0E65" w:rsidRDefault="003D0E65" w:rsidP="003D0E65"/>
    <w:p w:rsidR="00FE0C15" w:rsidRPr="00FE0C15" w:rsidRDefault="00FE0C15" w:rsidP="003D0E65"/>
    <w:p w:rsidR="00765AA8" w:rsidRDefault="00BA4AA2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fldChar w:fldCharType="begin"/>
      </w:r>
      <w:r w:rsidR="001C1BB4">
        <w:instrText xml:space="preserve"> TOC \o "1-3" \h \z \u </w:instrText>
      </w:r>
      <w:r>
        <w:fldChar w:fldCharType="separate"/>
      </w:r>
      <w:hyperlink w:anchor="_Toc8738400" w:history="1">
        <w:r w:rsidR="00765AA8" w:rsidRPr="009C15A0">
          <w:rPr>
            <w:rStyle w:val="Hyperlink"/>
            <w:noProof/>
          </w:rPr>
          <w:t>Типови евалуација</w:t>
        </w:r>
        <w:r w:rsidR="00765AA8">
          <w:rPr>
            <w:noProof/>
            <w:webHidden/>
          </w:rPr>
          <w:tab/>
        </w:r>
        <w:r w:rsidR="00765AA8">
          <w:rPr>
            <w:noProof/>
            <w:webHidden/>
          </w:rPr>
          <w:fldChar w:fldCharType="begin"/>
        </w:r>
        <w:r w:rsidR="00765AA8">
          <w:rPr>
            <w:noProof/>
            <w:webHidden/>
          </w:rPr>
          <w:instrText xml:space="preserve"> PAGEREF _Toc8738400 \h </w:instrText>
        </w:r>
        <w:r w:rsidR="00765AA8">
          <w:rPr>
            <w:noProof/>
            <w:webHidden/>
          </w:rPr>
        </w:r>
        <w:r w:rsidR="00765AA8">
          <w:rPr>
            <w:noProof/>
            <w:webHidden/>
          </w:rPr>
          <w:fldChar w:fldCharType="separate"/>
        </w:r>
        <w:r w:rsidR="00765AA8">
          <w:rPr>
            <w:noProof/>
            <w:webHidden/>
          </w:rPr>
          <w:t>2</w:t>
        </w:r>
        <w:r w:rsidR="00765AA8">
          <w:rPr>
            <w:noProof/>
            <w:webHidden/>
          </w:rPr>
          <w:fldChar w:fldCharType="end"/>
        </w:r>
      </w:hyperlink>
    </w:p>
    <w:p w:rsidR="00765AA8" w:rsidRDefault="00765AA8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8738401" w:history="1">
        <w:r w:rsidRPr="009C15A0">
          <w:rPr>
            <w:rStyle w:val="Hyperlink"/>
            <w:noProof/>
          </w:rPr>
          <w:t>Обавезне и добровољне евалуације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65AA8" w:rsidRDefault="00765AA8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8738402" w:history="1">
        <w:r w:rsidRPr="009C15A0">
          <w:rPr>
            <w:rStyle w:val="Hyperlink"/>
            <w:noProof/>
          </w:rPr>
          <w:t>Када не треба вршити евалуацију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65AA8" w:rsidRDefault="00765AA8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8738403" w:history="1">
        <w:r w:rsidRPr="009C15A0">
          <w:rPr>
            <w:rStyle w:val="Hyperlink"/>
            <w:noProof/>
          </w:rPr>
          <w:t>Пирамида јавног здравља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65AA8" w:rsidRDefault="00765AA8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8738404" w:history="1">
        <w:r w:rsidRPr="009C15A0">
          <w:rPr>
            <w:rStyle w:val="Hyperlink"/>
            <w:noProof/>
          </w:rPr>
          <w:t>Употреба пирамиде јавног здравља у планирању и евалуацији програма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65AA8" w:rsidRDefault="00765AA8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8738405" w:history="1">
        <w:r w:rsidRPr="009C15A0">
          <w:rPr>
            <w:rStyle w:val="Hyperlink"/>
            <w:noProof/>
          </w:rPr>
          <w:t>Пирамида јавног здравља као еколошки модел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65AA8" w:rsidRDefault="00765AA8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8738406" w:history="1">
        <w:r w:rsidRPr="009C15A0">
          <w:rPr>
            <w:rStyle w:val="Hyperlink"/>
            <w:noProof/>
          </w:rPr>
          <w:t>Здравствени програми, пројекти и услуге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65AA8" w:rsidRDefault="00765AA8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8738407" w:history="1">
        <w:r w:rsidRPr="009C15A0">
          <w:rPr>
            <w:rStyle w:val="Hyperlink"/>
            <w:noProof/>
          </w:rPr>
          <w:t>Кроз пирамиду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_Toc8738407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C1BB4" w:rsidRDefault="00BA4AA2" w:rsidP="003D0E65">
      <w:r>
        <w:fldChar w:fldCharType="end"/>
      </w:r>
    </w:p>
    <w:p w:rsidR="003D0E65" w:rsidRDefault="003D0E65" w:rsidP="003D0E65"/>
    <w:p w:rsidR="001C1BB4" w:rsidRDefault="001C1BB4">
      <w:pPr>
        <w:spacing w:before="0"/>
        <w:jc w:val="left"/>
      </w:pPr>
      <w:r>
        <w:br w:type="page"/>
      </w:r>
    </w:p>
    <w:p w:rsidR="00091697" w:rsidRDefault="00091697" w:rsidP="003D0E65"/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Pr="00BA7A03" w:rsidRDefault="001C1BB4" w:rsidP="001C1BB4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Предавање бр.  </w:t>
      </w:r>
      <w:r w:rsidR="00183070">
        <w:rPr>
          <w:sz w:val="24"/>
          <w:szCs w:val="24"/>
          <w:lang w:val="sr-Cyrl-CS"/>
        </w:rPr>
        <w:t>3</w:t>
      </w: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0B5BFF" w:rsidRDefault="001C1BB4" w:rsidP="000B5BFF">
      <w:pPr>
        <w:pStyle w:val="Title"/>
        <w:rPr>
          <w:b/>
        </w:rPr>
      </w:pPr>
      <w:r w:rsidRPr="00B55BD9">
        <w:t xml:space="preserve"> </w:t>
      </w:r>
      <w:r w:rsidR="000B5BFF">
        <w:rPr>
          <w:rFonts w:cs="Arial"/>
          <w:b/>
        </w:rPr>
        <w:t xml:space="preserve">&lt; </w:t>
      </w:r>
      <w:r w:rsidR="00514204" w:rsidRPr="00514204">
        <w:rPr>
          <w:rFonts w:cs="Arial"/>
          <w:b/>
        </w:rPr>
        <w:t>ТИПОВИ ЕВАЛУАЦИЈЕ И ПИРАМИДА ЈАВНОГ ЗДРАВЉА</w:t>
      </w:r>
      <w:r w:rsidR="000B5BFF" w:rsidRPr="00B55BD9">
        <w:t xml:space="preserve"> </w:t>
      </w:r>
      <w:r w:rsidR="000B5BFF">
        <w:rPr>
          <w:b/>
        </w:rPr>
        <w:t>&gt;</w:t>
      </w:r>
    </w:p>
    <w:p w:rsidR="001C1BB4" w:rsidRDefault="001C1BB4" w:rsidP="003D0E65"/>
    <w:p w:rsidR="00183070" w:rsidRPr="00C70BD9" w:rsidRDefault="00183070" w:rsidP="00C70BD9">
      <w:pPr>
        <w:pStyle w:val="Heading2"/>
      </w:pPr>
      <w:bookmarkStart w:id="0" w:name="_Toc535961279"/>
      <w:bookmarkStart w:id="1" w:name="_Toc4073252"/>
      <w:bookmarkStart w:id="2" w:name="_Toc8738400"/>
      <w:r w:rsidRPr="00C70BD9">
        <w:t>Типови евалуација</w:t>
      </w:r>
      <w:bookmarkEnd w:id="0"/>
      <w:bookmarkEnd w:id="1"/>
      <w:bookmarkEnd w:id="2"/>
    </w:p>
    <w:p w:rsidR="00183070" w:rsidRPr="00EE6B74" w:rsidRDefault="00183070" w:rsidP="0032212E">
      <w:pPr>
        <w:spacing w:before="0"/>
        <w:rPr>
          <w:rFonts w:cs="Arial"/>
        </w:rPr>
      </w:pPr>
      <w:proofErr w:type="gramStart"/>
      <w:r w:rsidRPr="00EE6B74">
        <w:rPr>
          <w:rFonts w:cs="Arial"/>
        </w:rPr>
        <w:t>Неколико главних врста активности је класификовано као евалуација.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Свака врста активности захтева специфичан фокус, сврху и скуп вештина.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Овде су представљене врсте евалуација као преглед подручја планирања и евалуације.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Процена потреба заједнице (такође позната као процена здравственог стања у заједници) је тип евалуације која се врши ради прикупљања података о здравственим проблемима група појединаца.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Подаци прикупљени у ту сврху се затим користе за прилагођавање здравственог програма потребама и различитим карактеристикама те групе.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Процена потребе заједнице је главна компонента програмског планирања, која се спроводи у раној фази планирања програма и евалуације циклуса.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Осим тога, може бити захтевано да процена заједнице буде комплетирана на регуларној основи.</w:t>
      </w:r>
      <w:proofErr w:type="gramEnd"/>
      <w:r w:rsidRPr="00EE6B74">
        <w:rPr>
          <w:rFonts w:cs="Arial"/>
        </w:rPr>
        <w:t xml:space="preserve"> На пример, многе државе раде петогодишње планирање програма на основу процене </w:t>
      </w:r>
      <w:proofErr w:type="gramStart"/>
      <w:r w:rsidRPr="00EE6B74">
        <w:rPr>
          <w:rFonts w:cs="Arial"/>
        </w:rPr>
        <w:t>потреба  државе</w:t>
      </w:r>
      <w:proofErr w:type="gramEnd"/>
      <w:r w:rsidRPr="00EE6B74">
        <w:rPr>
          <w:rFonts w:cs="Arial"/>
        </w:rPr>
        <w:t xml:space="preserve">. </w:t>
      </w:r>
      <w:proofErr w:type="gramStart"/>
      <w:r w:rsidRPr="00EE6B74">
        <w:rPr>
          <w:rFonts w:cs="Arial"/>
        </w:rPr>
        <w:t>Друга врста евалуације почиње у исто време када и програм почиње.</w:t>
      </w:r>
      <w:proofErr w:type="gramEnd"/>
    </w:p>
    <w:p w:rsidR="00183070" w:rsidRPr="00EE6B74" w:rsidRDefault="00F63D4C" w:rsidP="00F63D4C">
      <w:pPr>
        <w:spacing w:before="0"/>
        <w:rPr>
          <w:rFonts w:cs="Arial"/>
        </w:rPr>
      </w:pPr>
      <w:r>
        <w:rPr>
          <w:rFonts w:cs="Arial"/>
        </w:rPr>
        <w:tab/>
      </w:r>
      <w:proofErr w:type="gramStart"/>
      <w:r w:rsidR="00183070" w:rsidRPr="00EE6B74">
        <w:rPr>
          <w:rFonts w:cs="Arial"/>
        </w:rPr>
        <w:t>Евалуација процеса се фокусира на степен до којег је програм имплементиран као што је планирано, и на квалитет имплементације програма.</w:t>
      </w:r>
      <w:proofErr w:type="gramEnd"/>
      <w:r w:rsidR="00183070" w:rsidRPr="00EE6B74">
        <w:rPr>
          <w:rFonts w:cs="Arial"/>
        </w:rPr>
        <w:t xml:space="preserve"> </w:t>
      </w:r>
      <w:proofErr w:type="gramStart"/>
      <w:r w:rsidR="00183070" w:rsidRPr="00EE6B74">
        <w:rPr>
          <w:rFonts w:cs="Arial"/>
        </w:rPr>
        <w:t>Процене процеса познати су по разним терминима, као што су евалуације мониторинга, у зависности од њихових фокуса и карактеристике.</w:t>
      </w:r>
      <w:proofErr w:type="gramEnd"/>
      <w:r w:rsidR="00183070" w:rsidRPr="00EE6B74">
        <w:rPr>
          <w:rFonts w:cs="Arial"/>
        </w:rPr>
        <w:t xml:space="preserve"> </w:t>
      </w:r>
      <w:proofErr w:type="gramStart"/>
      <w:r w:rsidR="00183070" w:rsidRPr="00EE6B74">
        <w:rPr>
          <w:rFonts w:cs="Arial"/>
        </w:rPr>
        <w:t>Основни оквир за израду евалуације процеса долази из компоненте процесне теорије развијене целокупне теорије програма у фази планирања.</w:t>
      </w:r>
      <w:proofErr w:type="gramEnd"/>
      <w:r w:rsidR="00183070" w:rsidRPr="00EE6B74">
        <w:rPr>
          <w:rFonts w:cs="Arial"/>
        </w:rPr>
        <w:t xml:space="preserve"> </w:t>
      </w:r>
      <w:proofErr w:type="gramStart"/>
      <w:r w:rsidR="00183070" w:rsidRPr="00EE6B74">
        <w:rPr>
          <w:rFonts w:cs="Arial"/>
        </w:rPr>
        <w:t>Теорија процеса описује логистичке активности, ресурсе и интервенције потребне за постизање</w:t>
      </w:r>
      <w:r w:rsidR="00F25075">
        <w:rPr>
          <w:rFonts w:cs="Arial"/>
        </w:rPr>
        <w:t xml:space="preserve"> здравствене промене код учесни</w:t>
      </w:r>
      <w:r w:rsidR="00183070" w:rsidRPr="00EE6B74">
        <w:rPr>
          <w:rFonts w:cs="Arial"/>
        </w:rPr>
        <w:t>ка програма.</w:t>
      </w:r>
      <w:proofErr w:type="gramEnd"/>
      <w:r w:rsidR="00183070" w:rsidRPr="00EE6B74">
        <w:rPr>
          <w:rFonts w:cs="Arial"/>
        </w:rPr>
        <w:t xml:space="preserve"> </w:t>
      </w:r>
      <w:proofErr w:type="gramStart"/>
      <w:r w:rsidR="00183070" w:rsidRPr="00EE6B74">
        <w:rPr>
          <w:rFonts w:cs="Arial"/>
        </w:rPr>
        <w:t>Информације из евалуације процеса се користе за планирање, ревизију или побољшање програма.</w:t>
      </w:r>
      <w:proofErr w:type="gramEnd"/>
    </w:p>
    <w:p w:rsidR="00183070" w:rsidRPr="00EE6B74" w:rsidRDefault="00183070" w:rsidP="00F63D4C">
      <w:pPr>
        <w:spacing w:before="0"/>
        <w:ind w:firstLine="720"/>
        <w:rPr>
          <w:rFonts w:cs="Arial"/>
        </w:rPr>
      </w:pPr>
      <w:proofErr w:type="gramStart"/>
      <w:r w:rsidRPr="00EE6B74">
        <w:rPr>
          <w:rFonts w:cs="Arial"/>
        </w:rPr>
        <w:t>Трећи тип евалуације настоји да одреди ефекат програма - другим речима, да покаже или идентификује ефекат програма на оне који су учествовали у програму.</w:t>
      </w:r>
      <w:proofErr w:type="gramEnd"/>
      <w:r w:rsidRPr="00EE6B74">
        <w:rPr>
          <w:rFonts w:cs="Arial"/>
        </w:rPr>
        <w:t xml:space="preserve"> Ефекат </w:t>
      </w:r>
      <w:proofErr w:type="gramStart"/>
      <w:r w:rsidRPr="00EE6B74">
        <w:rPr>
          <w:rFonts w:cs="Arial"/>
        </w:rPr>
        <w:t>евалуације  одговара</w:t>
      </w:r>
      <w:proofErr w:type="gramEnd"/>
      <w:r w:rsidRPr="00EE6B74">
        <w:rPr>
          <w:rFonts w:cs="Arial"/>
        </w:rPr>
        <w:t xml:space="preserve"> на кључно питање: Да ли је програм направио разлику? </w:t>
      </w:r>
      <w:proofErr w:type="gramStart"/>
      <w:r w:rsidRPr="00EE6B74">
        <w:rPr>
          <w:rFonts w:cs="Arial"/>
        </w:rPr>
        <w:t>Као основа се користи компонента теорије ефеката теорије програма за израду ове евалуације.</w:t>
      </w:r>
      <w:proofErr w:type="gramEnd"/>
      <w:r w:rsidR="00F25075">
        <w:rPr>
          <w:rFonts w:cs="Arial"/>
        </w:rPr>
        <w:t xml:space="preserve"> </w:t>
      </w:r>
      <w:proofErr w:type="gramStart"/>
      <w:r w:rsidR="00F25075">
        <w:rPr>
          <w:rFonts w:cs="Arial"/>
        </w:rPr>
        <w:t>Када спроводе процену ефекта евалуације, евалуатори настоје да користе најстроже и робусне конструкције, као и методе и статист</w:t>
      </w:r>
      <w:r w:rsidR="00EC3EF0">
        <w:rPr>
          <w:rFonts w:cs="Arial"/>
        </w:rPr>
        <w:t xml:space="preserve">ичке </w:t>
      </w:r>
      <w:r w:rsidR="00EC3EF0">
        <w:rPr>
          <w:rFonts w:cs="Arial"/>
          <w:lang/>
        </w:rPr>
        <w:t>анализе</w:t>
      </w:r>
      <w:r w:rsidR="00F25075">
        <w:rPr>
          <w:rFonts w:cs="Arial"/>
        </w:rPr>
        <w:t>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Ефекат евалуације је чешће познат као исход или утицај евалуације.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Исход евалуације усредсређују се на непосредније ефекте програма, док процене утицаја могу имати дугорочнији фокус.</w:t>
      </w:r>
      <w:proofErr w:type="gramEnd"/>
      <w:r w:rsidRPr="00EE6B74">
        <w:rPr>
          <w:rFonts w:cs="Arial"/>
        </w:rPr>
        <w:t xml:space="preserve"> Овај термин се не користи доследно у евалуационој литератури; појмови „утицај евалуације</w:t>
      </w:r>
      <w:proofErr w:type="gramStart"/>
      <w:r w:rsidRPr="00EE6B74">
        <w:rPr>
          <w:rFonts w:cs="Arial"/>
        </w:rPr>
        <w:t>“ и</w:t>
      </w:r>
      <w:proofErr w:type="gramEnd"/>
      <w:r w:rsidRPr="00EE6B74">
        <w:rPr>
          <w:rFonts w:cs="Arial"/>
        </w:rPr>
        <w:t xml:space="preserve"> „исход евалуације”, изгледа да се користе наизменично. </w:t>
      </w:r>
      <w:proofErr w:type="gramStart"/>
      <w:r w:rsidRPr="00EE6B74">
        <w:rPr>
          <w:rFonts w:cs="Arial"/>
        </w:rPr>
        <w:t>Планери програма и евалуатори морају бити опрезни у погледу начина на који они и други користе термине и не би требало да оклевају да разјасне значења и да се позабаве свим основним заблудама или неспоразумима.</w:t>
      </w:r>
      <w:proofErr w:type="gramEnd"/>
    </w:p>
    <w:p w:rsidR="00183070" w:rsidRPr="00EE6B74" w:rsidRDefault="00183070" w:rsidP="00183070">
      <w:pPr>
        <w:spacing w:before="0"/>
        <w:ind w:firstLine="720"/>
        <w:rPr>
          <w:rFonts w:cs="Arial"/>
        </w:rPr>
      </w:pPr>
      <w:proofErr w:type="gramStart"/>
      <w:r w:rsidRPr="00EE6B74">
        <w:rPr>
          <w:rFonts w:cs="Arial"/>
        </w:rPr>
        <w:t>Четврти тип евалуације се фокусира на ефикасност и трошкове повезане са програмом.</w:t>
      </w:r>
      <w:proofErr w:type="gramEnd"/>
      <w:r w:rsidRPr="00EE6B74">
        <w:rPr>
          <w:rFonts w:cs="Arial"/>
        </w:rPr>
        <w:t xml:space="preserve"> Процене трошкова обухватају више специфичних трошкова: трошкови-ефективности евалуације, трошкови-исплативост и трошкови-корисност. </w:t>
      </w:r>
      <w:proofErr w:type="gramStart"/>
      <w:r w:rsidRPr="00EE6B74">
        <w:rPr>
          <w:rFonts w:cs="Arial"/>
        </w:rPr>
        <w:t>Процене трошкова у највећем делу раде истраживачи зато што процене трошкова-исплат</w:t>
      </w:r>
      <w:r w:rsidR="00086FCF">
        <w:rPr>
          <w:rFonts w:cs="Arial"/>
        </w:rPr>
        <w:t xml:space="preserve">ивости и трошкова – корисности </w:t>
      </w:r>
      <w:r w:rsidRPr="00EE6B74">
        <w:rPr>
          <w:rFonts w:cs="Arial"/>
        </w:rPr>
        <w:t>захтевају стручњаке из области економије.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Сличности и разлике између ова три типа студија трошкова детаљније се разматрају даље у тексту тако да програмери могу бити, у најмању руку, паметни потрошачи објављених извештаја о процени трошкова.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Зато што се процене трошкова врше касно у циклусу планирања и евалуације, њихови резултати неће бити доступни на време како би се направило побољшање или ревизија програма.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Уместо тога, такве процене се генерално користе током наредних фаза планирања ради прикупљања информација за одређивање приоритета програма.</w:t>
      </w:r>
      <w:proofErr w:type="gramEnd"/>
    </w:p>
    <w:p w:rsidR="00183070" w:rsidRPr="00EE6B74" w:rsidRDefault="00183070" w:rsidP="00183070">
      <w:pPr>
        <w:spacing w:before="0"/>
        <w:ind w:firstLine="720"/>
        <w:rPr>
          <w:rFonts w:cs="Arial"/>
        </w:rPr>
      </w:pPr>
      <w:proofErr w:type="gramStart"/>
      <w:r w:rsidRPr="00EE6B74">
        <w:rPr>
          <w:rFonts w:cs="Arial"/>
        </w:rPr>
        <w:t>Свеобухватне евалуације, пета врста евалуације, укључују анализу потребних података о процени, података о евалуацији процеса, о процени ефеката и процени трошкова.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 xml:space="preserve">Није </w:t>
      </w:r>
      <w:r w:rsidRPr="00EE6B74">
        <w:rPr>
          <w:rFonts w:cs="Arial"/>
        </w:rPr>
        <w:lastRenderedPageBreak/>
        <w:t>неуобичајено да особље програма има сваки од ових врста података доступних за даљу анализу; међутим, то је релативно неуобичајено.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Програм ће користити све ове податке како би извео опсежније закључке о ефикасности и ефективности програма.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Поред тога, за веће, сложеније здравствене програме, свеобухватна евалуација може бити прилично скупа и изазовна и стога је мање вероватно да ће бити планирана као активност евалуације.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Могуће је створити свеобухватну евалуацију из постојећих процеса и евалуације ефекта током времена, ако се подаци могу сабрати и интерпретирати као комплетан скуп информација.</w:t>
      </w:r>
      <w:proofErr w:type="gramEnd"/>
    </w:p>
    <w:p w:rsidR="00183070" w:rsidRPr="00EE6B74" w:rsidRDefault="00183070" w:rsidP="00183070">
      <w:pPr>
        <w:spacing w:before="0"/>
        <w:ind w:firstLine="720"/>
        <w:rPr>
          <w:rFonts w:cs="Arial"/>
        </w:rPr>
      </w:pPr>
      <w:proofErr w:type="gramStart"/>
      <w:r w:rsidRPr="00EE6B74">
        <w:rPr>
          <w:rFonts w:cs="Arial"/>
        </w:rPr>
        <w:t>Шести тип евалуације је мета-евалуација.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Мета-евалуација се врши путем комбиновања налаза из претходних евалуација исхода различитих програма за исти здравствени проблем.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 xml:space="preserve">Сврха мета-евалуације је добијање увида у то који од различитих програмских приступа је имао највећи ефекат и одредити максималан ефекат који одређени програмски приступ има </w:t>
      </w:r>
      <w:r w:rsidR="00EC3EF0">
        <w:rPr>
          <w:rFonts w:cs="Arial"/>
          <w:lang/>
        </w:rPr>
        <w:t xml:space="preserve">на неки </w:t>
      </w:r>
      <w:r w:rsidRPr="00EE6B74">
        <w:rPr>
          <w:rFonts w:cs="Arial"/>
        </w:rPr>
        <w:t>здравствени проблем.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Ова врста евалуације се ослања на доступност постојећих информација о евалуацијама и употреби одређеног скупа методолошких и статистичких</w:t>
      </w:r>
      <w:r w:rsidR="00EC3EF0">
        <w:rPr>
          <w:rFonts w:cs="Arial"/>
        </w:rPr>
        <w:t xml:space="preserve"> процедур</w:t>
      </w:r>
      <w:r w:rsidR="00EC3EF0">
        <w:rPr>
          <w:rFonts w:cs="Arial"/>
          <w:lang/>
        </w:rPr>
        <w:t>а</w:t>
      </w:r>
      <w:r w:rsidRPr="00EE6B74">
        <w:rPr>
          <w:rFonts w:cs="Arial"/>
        </w:rPr>
        <w:t>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Из тих разлога, мање је вероватно да ће мета-евалуације бити извршене од стране прог</w:t>
      </w:r>
      <w:r w:rsidR="00EC3EF0">
        <w:rPr>
          <w:rFonts w:cs="Arial"/>
        </w:rPr>
        <w:t>рамског особља; уместо тога, он</w:t>
      </w:r>
      <w:r w:rsidR="00EC3EF0">
        <w:rPr>
          <w:rFonts w:cs="Arial"/>
          <w:lang/>
        </w:rPr>
        <w:t>е</w:t>
      </w:r>
      <w:r w:rsidRPr="00EE6B74">
        <w:rPr>
          <w:rFonts w:cs="Arial"/>
        </w:rPr>
        <w:t xml:space="preserve"> се генерално изводе од стране истраживача за евалуацију.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Мета-евалуације које су публиковане су изузетно корисне у планирању програма јер указују на то које програмске интервенције ће вероватно имати ефекат на учеснике.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Објављене мета-евалуације такође могу бити корисне у утицају на здравствену политику и одлуке о финансирању здравства.</w:t>
      </w:r>
      <w:proofErr w:type="gramEnd"/>
    </w:p>
    <w:p w:rsidR="00183070" w:rsidRPr="00EE6B74" w:rsidRDefault="00183070" w:rsidP="00183070">
      <w:pPr>
        <w:spacing w:before="0"/>
        <w:ind w:firstLine="720"/>
        <w:rPr>
          <w:rFonts w:cs="Arial"/>
        </w:rPr>
      </w:pPr>
      <w:proofErr w:type="gramStart"/>
      <w:r w:rsidRPr="00EE6B74">
        <w:rPr>
          <w:rFonts w:cs="Arial"/>
        </w:rPr>
        <w:t>Сумативне евалуације, у најстрожем смислу, врше се на крају програма да дају закључну изјаву у вези са ефектима програма.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Нажалост термин “сумативна евалуација” се понекад користи да означи или исход или утицај евалуације, додајући још већу конфузију у терминологију.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Сумативне евалуације се обично разликују од формативне евалуације.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Термин формативна евалуација се користи да означи процене програма које се извршавају у раној фази имплементације програма и користе се за измене програма.</w:t>
      </w:r>
      <w:proofErr w:type="gramEnd"/>
      <w:r w:rsidRPr="00EE6B74">
        <w:rPr>
          <w:rFonts w:cs="Arial"/>
        </w:rPr>
        <w:t xml:space="preserve"> </w:t>
      </w:r>
    </w:p>
    <w:p w:rsidR="00183070" w:rsidRPr="000A02BC" w:rsidRDefault="00183070" w:rsidP="000A02BC">
      <w:pPr>
        <w:pStyle w:val="Heading3"/>
      </w:pPr>
      <w:bookmarkStart w:id="3" w:name="_Toc535961280"/>
      <w:bookmarkStart w:id="4" w:name="_Toc4073253"/>
      <w:bookmarkStart w:id="5" w:name="_Toc8738401"/>
      <w:r w:rsidRPr="000A02BC">
        <w:t>Обавезне и добровољне евалуације</w:t>
      </w:r>
      <w:bookmarkEnd w:id="3"/>
      <w:bookmarkEnd w:id="4"/>
      <w:bookmarkEnd w:id="5"/>
    </w:p>
    <w:p w:rsidR="00183070" w:rsidRPr="00EE6B74" w:rsidRDefault="00183070" w:rsidP="00183070">
      <w:pPr>
        <w:spacing w:before="0"/>
        <w:rPr>
          <w:rFonts w:cs="Arial"/>
        </w:rPr>
      </w:pPr>
      <w:proofErr w:type="gramStart"/>
      <w:r w:rsidRPr="00EE6B74">
        <w:rPr>
          <w:rFonts w:cs="Arial"/>
        </w:rPr>
        <w:t>Евалуације нису спонтани догађаји.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Уместо тога, они су или обавезни или добровољни.</w:t>
      </w:r>
      <w:proofErr w:type="gramEnd"/>
      <w:r w:rsidR="00234610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Мандат за евалуацију програма је увек повезан на неки начин са финансирањем агенција, било да је то владино тело или фондација.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Ако је евалуација обавезна, онда ће уговор за добијање средстава за програм укључити и параметре за спецификацију језика и временски оквир за мандатну евалуацију.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Мандат за евалуацију може прецизирати да ли ће евалуацију обавити особље пројекта или екстерни евалуатори или обоје.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На пример, државни програм здравственог осигурања деце (</w:t>
      </w:r>
      <w:r w:rsidRPr="00EE6B74">
        <w:rPr>
          <w:rFonts w:cs="Arial"/>
          <w:i/>
          <w:lang w:val="en-US"/>
        </w:rPr>
        <w:t>SCHIP</w:t>
      </w:r>
      <w:r w:rsidRPr="00EE6B74">
        <w:rPr>
          <w:rFonts w:cs="Arial"/>
        </w:rPr>
        <w:t>) основан је 1998.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године</w:t>
      </w:r>
      <w:proofErr w:type="gramEnd"/>
      <w:r w:rsidRPr="00EE6B74">
        <w:rPr>
          <w:rFonts w:cs="Arial"/>
        </w:rPr>
        <w:t xml:space="preserve"> као федерално финансиран и обавезан програм за проширење осигурања које покрива  децу само изнад федералног нивоа сиромаштва. Конгрес има власт да овласти евалуације федералних програма и то је управо </w:t>
      </w:r>
      <w:proofErr w:type="gramStart"/>
      <w:r w:rsidRPr="00EE6B74">
        <w:rPr>
          <w:rFonts w:cs="Arial"/>
        </w:rPr>
        <w:t>и  учињено</w:t>
      </w:r>
      <w:proofErr w:type="gramEnd"/>
      <w:r w:rsidRPr="00EE6B74">
        <w:rPr>
          <w:rFonts w:cs="Arial"/>
        </w:rPr>
        <w:t xml:space="preserve"> са </w:t>
      </w:r>
      <w:r w:rsidRPr="00EE6B74">
        <w:rPr>
          <w:rFonts w:cs="Arial"/>
          <w:lang w:val="en-US"/>
        </w:rPr>
        <w:t>SCHIP</w:t>
      </w:r>
      <w:r w:rsidRPr="00EE6B74">
        <w:rPr>
          <w:rFonts w:cs="Arial"/>
        </w:rPr>
        <w:t xml:space="preserve">-ом. </w:t>
      </w:r>
      <w:proofErr w:type="gramStart"/>
      <w:r w:rsidRPr="00EE6B74">
        <w:rPr>
          <w:rFonts w:cs="Arial"/>
        </w:rPr>
        <w:t>Ово је само један пример федералног програма који има мандатну евалуацију.</w:t>
      </w:r>
      <w:proofErr w:type="gramEnd"/>
    </w:p>
    <w:p w:rsidR="00183070" w:rsidRPr="00EE6B74" w:rsidRDefault="00183070" w:rsidP="00183070">
      <w:pPr>
        <w:spacing w:before="0"/>
        <w:rPr>
          <w:rFonts w:cs="Arial"/>
        </w:rPr>
      </w:pPr>
      <w:r w:rsidRPr="00EE6B74">
        <w:rPr>
          <w:rFonts w:cs="Arial"/>
        </w:rPr>
        <w:tab/>
      </w:r>
      <w:proofErr w:type="gramStart"/>
      <w:r w:rsidRPr="00EE6B74">
        <w:rPr>
          <w:rFonts w:cs="Arial"/>
        </w:rPr>
        <w:t>Остале евалуације могу бити повезане с</w:t>
      </w:r>
      <w:r w:rsidR="00E52C24">
        <w:rPr>
          <w:rFonts w:cs="Arial"/>
          <w:lang/>
        </w:rPr>
        <w:t>а</w:t>
      </w:r>
      <w:r w:rsidRPr="00EE6B74">
        <w:rPr>
          <w:rFonts w:cs="Arial"/>
        </w:rPr>
        <w:t xml:space="preserve"> акредитацијом која је потребна за надокнаду пружених услуга, што их чини де факто мандатним евалуацијама.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На пример, да би добиле акредитацију од Заједничке комисије, организације за здравствене услуге морају прикупити податке током времена о исходима пацијената.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Ови подаци се затим користе за развој континуираног напора ради побољшања квалитета.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Сличан процес постоји и за агенције за ментално здравље.</w:t>
      </w:r>
      <w:proofErr w:type="gramEnd"/>
      <w:r w:rsidRPr="00EE6B74">
        <w:rPr>
          <w:rFonts w:cs="Arial"/>
        </w:rPr>
        <w:t xml:space="preserve"> Комисија за акредитацију објеката за рехабилитацију (</w:t>
      </w:r>
      <w:r w:rsidRPr="00EE6B74">
        <w:rPr>
          <w:rFonts w:cs="Arial"/>
          <w:i/>
          <w:lang w:val="en-US"/>
        </w:rPr>
        <w:t>CARF</w:t>
      </w:r>
      <w:proofErr w:type="gramStart"/>
      <w:r w:rsidRPr="00EE6B74">
        <w:rPr>
          <w:rFonts w:cs="Arial"/>
        </w:rPr>
        <w:t>)  захтева</w:t>
      </w:r>
      <w:proofErr w:type="gramEnd"/>
      <w:r w:rsidRPr="00EE6B74">
        <w:rPr>
          <w:rFonts w:cs="Arial"/>
        </w:rPr>
        <w:t xml:space="preserve"> да провајдери организација  спроводе самоевалуацију као рани корак у процесу акредитације. </w:t>
      </w:r>
    </w:p>
    <w:p w:rsidR="00183070" w:rsidRPr="00EE6B74" w:rsidRDefault="00183070" w:rsidP="00183070">
      <w:pPr>
        <w:spacing w:before="0"/>
        <w:rPr>
          <w:rFonts w:cs="Arial"/>
        </w:rPr>
      </w:pPr>
      <w:r w:rsidRPr="00EE6B74">
        <w:rPr>
          <w:rFonts w:cs="Arial"/>
        </w:rPr>
        <w:tab/>
      </w:r>
      <w:proofErr w:type="gramStart"/>
      <w:r w:rsidRPr="00EE6B74">
        <w:rPr>
          <w:rFonts w:cs="Arial"/>
        </w:rPr>
        <w:t>Потпуно добровољне евалуације се покрећу, планирају и завршавају од стране особља пројекта у настојању да се направи побољшање програма.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Међутим, с обзиром на релативно низак ниво награда и трошкове, извршавање евалуације када то није потребно значи да ће овакве евалуације вероватно имати малу научну заснованост.</w:t>
      </w:r>
      <w:proofErr w:type="gramEnd"/>
      <w:r w:rsidRPr="00EE6B74">
        <w:rPr>
          <w:rFonts w:cs="Arial"/>
        </w:rPr>
        <w:t xml:space="preserve"> Програми у којима се ангажују </w:t>
      </w:r>
      <w:proofErr w:type="gramStart"/>
      <w:r w:rsidRPr="00EE6B74">
        <w:rPr>
          <w:rFonts w:cs="Arial"/>
        </w:rPr>
        <w:t>добровољне  евалуације</w:t>
      </w:r>
      <w:proofErr w:type="gramEnd"/>
      <w:r w:rsidRPr="00EE6B74">
        <w:rPr>
          <w:rFonts w:cs="Arial"/>
        </w:rPr>
        <w:t xml:space="preserve"> могу имати добре намере, али често им недостају вештине и знања која су потребна за спровођење одговарајуће евалуације.</w:t>
      </w:r>
    </w:p>
    <w:p w:rsidR="00183070" w:rsidRPr="000A02BC" w:rsidRDefault="00183070" w:rsidP="000A02BC">
      <w:pPr>
        <w:pStyle w:val="Heading3"/>
        <w:rPr>
          <w:szCs w:val="20"/>
        </w:rPr>
      </w:pPr>
      <w:bookmarkStart w:id="6" w:name="_Toc535961281"/>
      <w:bookmarkStart w:id="7" w:name="_Toc4073254"/>
      <w:bookmarkStart w:id="8" w:name="_Toc8738402"/>
      <w:r w:rsidRPr="000A02BC">
        <w:rPr>
          <w:szCs w:val="20"/>
        </w:rPr>
        <w:t>Када не треба вршити евалуацију</w:t>
      </w:r>
      <w:bookmarkEnd w:id="6"/>
      <w:bookmarkEnd w:id="7"/>
      <w:bookmarkEnd w:id="8"/>
    </w:p>
    <w:p w:rsidR="00183070" w:rsidRPr="00EE6B74" w:rsidRDefault="00183070" w:rsidP="00183070">
      <w:pPr>
        <w:spacing w:before="0"/>
        <w:rPr>
          <w:rFonts w:cs="Arial"/>
        </w:rPr>
      </w:pPr>
      <w:proofErr w:type="gramStart"/>
      <w:r w:rsidRPr="00EE6B74">
        <w:rPr>
          <w:rFonts w:cs="Arial"/>
        </w:rPr>
        <w:t>Ситуације и околности које нису погодне за спровођење евалуације постоје, упркос захтевима за процену.</w:t>
      </w:r>
      <w:proofErr w:type="gramEnd"/>
      <w:r w:rsidRPr="00EE6B74">
        <w:rPr>
          <w:rFonts w:cs="Arial"/>
        </w:rPr>
        <w:t xml:space="preserve"> Конкретно, није препоручљиво вршити евалуацију под следећим околностима: када нема питања о програму, када програм нема јасан правац, када се заинтересоване стране не могу сложити око циљева програма и кад нема довољно новца да се спроведе ваљана процена (</w:t>
      </w:r>
      <w:r w:rsidRPr="00EE6B74">
        <w:rPr>
          <w:rFonts w:cs="Arial"/>
          <w:i/>
        </w:rPr>
        <w:t>Patton</w:t>
      </w:r>
      <w:r w:rsidRPr="00EE6B74">
        <w:rPr>
          <w:rFonts w:cs="Arial"/>
        </w:rPr>
        <w:t xml:space="preserve">, 2008). У складу са овим ситуацијама, </w:t>
      </w:r>
      <w:r w:rsidRPr="00EE6B74">
        <w:rPr>
          <w:rFonts w:cs="Arial"/>
          <w:i/>
          <w:lang w:val="en-US"/>
        </w:rPr>
        <w:t>Weiss</w:t>
      </w:r>
      <w:r w:rsidRPr="00EE6B74">
        <w:rPr>
          <w:rFonts w:cs="Arial"/>
        </w:rPr>
        <w:t xml:space="preserve"> (1972) је препознао да се понекад</w:t>
      </w:r>
      <w:r w:rsidR="00E52C24">
        <w:rPr>
          <w:rFonts w:cs="Arial"/>
          <w:lang/>
        </w:rPr>
        <w:t>а</w:t>
      </w:r>
      <w:r w:rsidR="00E52C24">
        <w:rPr>
          <w:rFonts w:cs="Arial"/>
        </w:rPr>
        <w:t xml:space="preserve"> процене захтевају и спрове</w:t>
      </w:r>
      <w:r w:rsidR="00E52C24">
        <w:rPr>
          <w:rFonts w:cs="Arial"/>
          <w:lang/>
        </w:rPr>
        <w:t>ду</w:t>
      </w:r>
      <w:r w:rsidR="00E52C24">
        <w:rPr>
          <w:rFonts w:cs="Arial"/>
        </w:rPr>
        <w:t xml:space="preserve"> </w:t>
      </w:r>
      <w:r w:rsidRPr="00EE6B74">
        <w:rPr>
          <w:rFonts w:cs="Arial"/>
        </w:rPr>
        <w:t xml:space="preserve">у мање легитимне сврхе: одложити програм или политичке одлуке, чиме </w:t>
      </w:r>
      <w:r w:rsidRPr="00EE6B74">
        <w:rPr>
          <w:rFonts w:cs="Arial"/>
        </w:rPr>
        <w:lastRenderedPageBreak/>
        <w:t xml:space="preserve">се избегава одговорност израде програма или политичких одлука; да програм изгледа добро као напор за односе с јавношћу; или да се испуни захтев за програмским одобрењем. </w:t>
      </w:r>
      <w:proofErr w:type="gramStart"/>
      <w:r w:rsidRPr="00EE6B74">
        <w:rPr>
          <w:rFonts w:cs="Arial"/>
        </w:rPr>
        <w:t>Као што све претходно наведено сугерише, они који се баве планирањем и евалуацијом програма морају бити сврсисходни у ономе што се раде и бити свесни да екстерне силе могу утицати на процесе планирања и евалуације.</w:t>
      </w:r>
      <w:proofErr w:type="gramEnd"/>
    </w:p>
    <w:p w:rsidR="00183070" w:rsidRPr="00EE6B74" w:rsidRDefault="00183070" w:rsidP="00183070">
      <w:pPr>
        <w:spacing w:before="0"/>
        <w:ind w:firstLine="720"/>
        <w:rPr>
          <w:rFonts w:cs="Arial"/>
        </w:rPr>
      </w:pPr>
      <w:proofErr w:type="gramStart"/>
      <w:r w:rsidRPr="00EE6B74">
        <w:rPr>
          <w:rFonts w:cs="Arial"/>
        </w:rPr>
        <w:t>Пошто је Вајс изразио своје запажање 1972.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године</w:t>
      </w:r>
      <w:proofErr w:type="gramEnd"/>
      <w:r w:rsidRPr="00EE6B74">
        <w:rPr>
          <w:rFonts w:cs="Arial"/>
        </w:rPr>
        <w:t>, финансијери су п</w:t>
      </w:r>
      <w:r w:rsidR="00A97CD5">
        <w:rPr>
          <w:rFonts w:cs="Arial"/>
        </w:rPr>
        <w:t>очели да траже програм оцењивањ</w:t>
      </w:r>
      <w:r w:rsidR="00A97CD5">
        <w:rPr>
          <w:rFonts w:cs="Arial"/>
          <w:lang/>
        </w:rPr>
        <w:t>а</w:t>
      </w:r>
      <w:r w:rsidRPr="00EE6B74">
        <w:rPr>
          <w:rFonts w:cs="Arial"/>
        </w:rPr>
        <w:t xml:space="preserve"> процеса и учинка, као и спровођење ових евалуација како би се испунио тај захтев који би се сматрао легитимним. </w:t>
      </w:r>
      <w:proofErr w:type="gramStart"/>
      <w:r w:rsidRPr="00EE6B74">
        <w:rPr>
          <w:rFonts w:cs="Arial"/>
        </w:rPr>
        <w:t>Ова промена која се иначе десила као техника дизајнирања и спровођења евалуација програмских процеса и ефеката је побољшана, и очекивање је да ће чак и обавезне евалуације на неки начин бити корисне.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Ипак, и даље је од кључног значаја размотрити како спровести евалуације легитимно, ригорозно, јефтино и поштено.</w:t>
      </w:r>
      <w:proofErr w:type="gramEnd"/>
      <w:r w:rsidRPr="00EE6B74">
        <w:rPr>
          <w:rFonts w:cs="Arial"/>
        </w:rPr>
        <w:t xml:space="preserve"> </w:t>
      </w:r>
    </w:p>
    <w:p w:rsidR="00183070" w:rsidRPr="00EE6B74" w:rsidRDefault="00183070" w:rsidP="00183070">
      <w:pPr>
        <w:spacing w:before="0"/>
        <w:ind w:firstLine="720"/>
        <w:rPr>
          <w:rFonts w:cs="Arial"/>
        </w:rPr>
      </w:pPr>
      <w:proofErr w:type="gramStart"/>
      <w:r w:rsidRPr="00EE6B74">
        <w:rPr>
          <w:rFonts w:cs="Arial"/>
        </w:rPr>
        <w:t>Интереси и степен</w:t>
      </w:r>
      <w:r w:rsidR="00A97CD5">
        <w:rPr>
          <w:rFonts w:cs="Arial"/>
        </w:rPr>
        <w:t xml:space="preserve"> утицаја који имају </w:t>
      </w:r>
      <w:r w:rsidR="00A97CD5">
        <w:rPr>
          <w:rFonts w:cs="Arial"/>
          <w:lang/>
        </w:rPr>
        <w:t>заинтересоване</w:t>
      </w:r>
      <w:r w:rsidR="00A97CD5">
        <w:rPr>
          <w:rFonts w:cs="Arial"/>
        </w:rPr>
        <w:t xml:space="preserve"> стране</w:t>
      </w:r>
      <w:r w:rsidRPr="00EE6B74">
        <w:rPr>
          <w:rFonts w:cs="Arial"/>
        </w:rPr>
        <w:t xml:space="preserve"> могу да се промене.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Такве промене утичу не само на начин на који је евалуација концептуализована, већ и на то да ли се евалуација користи.</w:t>
      </w:r>
      <w:proofErr w:type="gramEnd"/>
      <w:r w:rsidRPr="00EE6B74">
        <w:rPr>
          <w:rFonts w:cs="Arial"/>
        </w:rPr>
        <w:t xml:space="preserve"> Поред тога, приоритети и одговорности организација и агенције које обезбеђују да се програм може мењати током испоруке програма, што онда може довести до промена у имплементацији програма </w:t>
      </w:r>
      <w:proofErr w:type="gramStart"/>
      <w:r w:rsidRPr="00EE6B74">
        <w:rPr>
          <w:rFonts w:cs="Arial"/>
        </w:rPr>
        <w:t>евалуације  нису</w:t>
      </w:r>
      <w:proofErr w:type="gramEnd"/>
      <w:r w:rsidRPr="00EE6B74">
        <w:rPr>
          <w:rFonts w:cs="Arial"/>
        </w:rPr>
        <w:t xml:space="preserve"> узети у обзир. На пример, </w:t>
      </w:r>
      <w:proofErr w:type="gramStart"/>
      <w:r w:rsidRPr="00EE6B74">
        <w:rPr>
          <w:rFonts w:cs="Arial"/>
        </w:rPr>
        <w:t>ако  повучени</w:t>
      </w:r>
      <w:proofErr w:type="gramEnd"/>
      <w:r w:rsidRPr="00EE6B74">
        <w:rPr>
          <w:rFonts w:cs="Arial"/>
        </w:rPr>
        <w:t xml:space="preserve"> ресурси доводе до скраћене или поједностављене евалуације, накнадни налази могу указивати на неуспех програмске интервенције. </w:t>
      </w:r>
      <w:proofErr w:type="gramStart"/>
      <w:r w:rsidRPr="00EE6B74">
        <w:rPr>
          <w:rFonts w:cs="Arial"/>
        </w:rPr>
        <w:t>Међутим, то ће остати нејасно да ли је наизглед неефикасна интервенција била последица дизајна програма или дизајна евалуације.</w:t>
      </w:r>
      <w:proofErr w:type="gramEnd"/>
      <w:r w:rsidRPr="00EE6B74">
        <w:rPr>
          <w:rFonts w:cs="Arial"/>
        </w:rPr>
        <w:t xml:space="preserve"> </w:t>
      </w:r>
    </w:p>
    <w:p w:rsidR="00183070" w:rsidRPr="00EE6B74" w:rsidRDefault="00183070" w:rsidP="00183070">
      <w:pPr>
        <w:spacing w:before="0"/>
        <w:ind w:firstLine="720"/>
        <w:rPr>
          <w:rFonts w:cs="Arial"/>
        </w:rPr>
      </w:pPr>
      <w:proofErr w:type="gramStart"/>
      <w:r w:rsidRPr="00EE6B74">
        <w:rPr>
          <w:rFonts w:cs="Arial"/>
        </w:rPr>
        <w:t>Поред тога, неочекивани проблеми у спровођењу програмских интервенција и евалуација ће увек постојати.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Чак и строго дизајниране евалуације се суочавају са изазовима у стварном свету које проистичу из флуктуације особља, потенцијалног неукључивања учесника у програм, лоше време, или било који низ других фактора који могу ометати постизање оригиналног дизајна евалуације.</w:t>
      </w:r>
      <w:proofErr w:type="gramEnd"/>
    </w:p>
    <w:p w:rsidR="00183070" w:rsidRPr="00EE6B74" w:rsidRDefault="00183070" w:rsidP="00183070">
      <w:pPr>
        <w:spacing w:before="0"/>
        <w:ind w:firstLine="720"/>
        <w:rPr>
          <w:rFonts w:cs="Arial"/>
        </w:rPr>
      </w:pPr>
    </w:p>
    <w:p w:rsidR="00183070" w:rsidRPr="00D23FC9" w:rsidRDefault="00183070" w:rsidP="00D23FC9">
      <w:pPr>
        <w:pStyle w:val="Heading2"/>
      </w:pPr>
      <w:bookmarkStart w:id="9" w:name="_Toc535961282"/>
      <w:bookmarkStart w:id="10" w:name="_Toc4073255"/>
      <w:bookmarkStart w:id="11" w:name="_Toc8738403"/>
      <w:r w:rsidRPr="00D23FC9">
        <w:t>Пирамида јавног здравља</w:t>
      </w:r>
      <w:bookmarkEnd w:id="9"/>
      <w:bookmarkEnd w:id="10"/>
      <w:bookmarkEnd w:id="11"/>
    </w:p>
    <w:p w:rsidR="00183070" w:rsidRPr="00EE6B74" w:rsidRDefault="00183070" w:rsidP="00183070">
      <w:pPr>
        <w:spacing w:before="0"/>
        <w:rPr>
          <w:rFonts w:cs="Arial"/>
        </w:rPr>
      </w:pPr>
      <w:proofErr w:type="gramStart"/>
      <w:r w:rsidRPr="00EE6B74">
        <w:rPr>
          <w:rFonts w:cs="Arial"/>
        </w:rPr>
        <w:t>Као део Закона о учинку и резултатима владе (</w:t>
      </w:r>
      <w:r w:rsidRPr="00EE6B74">
        <w:rPr>
          <w:rFonts w:cs="Arial"/>
          <w:i/>
          <w:lang w:val="en-US"/>
        </w:rPr>
        <w:t>GPRA</w:t>
      </w:r>
      <w:r w:rsidRPr="00EE6B74">
        <w:rPr>
          <w:rFonts w:cs="Arial"/>
        </w:rPr>
        <w:t>) из 1993.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године</w:t>
      </w:r>
      <w:proofErr w:type="gramEnd"/>
      <w:r w:rsidRPr="00EE6B74">
        <w:rPr>
          <w:rFonts w:cs="Arial"/>
        </w:rPr>
        <w:t xml:space="preserve">, америчке федералне агенције су биле усмерене на процену њихових услуга и делотворности. Једна агенција, Биро за здравље мајке и детета у Управи за здравствене ресурсе, администрира неколико програма за </w:t>
      </w:r>
      <w:r w:rsidR="00A97CD5">
        <w:rPr>
          <w:rFonts w:cs="Arial"/>
        </w:rPr>
        <w:t>стицање права, укључујући и „Т</w:t>
      </w:r>
      <w:r w:rsidR="00A97CD5">
        <w:rPr>
          <w:rFonts w:cs="Arial"/>
          <w:lang/>
        </w:rPr>
        <w:t>itle</w:t>
      </w:r>
      <w:r w:rsidRPr="00EE6B74">
        <w:rPr>
          <w:rFonts w:cs="Arial"/>
        </w:rPr>
        <w:t xml:space="preserve"> </w:t>
      </w:r>
      <w:r w:rsidRPr="00EE6B74">
        <w:rPr>
          <w:rFonts w:cs="Arial"/>
          <w:lang w:val="en-US"/>
        </w:rPr>
        <w:t>V</w:t>
      </w:r>
      <w:r w:rsidRPr="00EE6B74">
        <w:rPr>
          <w:rFonts w:cs="Arial"/>
        </w:rPr>
        <w:t xml:space="preserve">“, који обезбеђује средства државе за програме побољшања здравља мајки и деце. Један корак према испуњавању са </w:t>
      </w:r>
      <w:proofErr w:type="gramStart"/>
      <w:r w:rsidRPr="00EE6B74">
        <w:rPr>
          <w:rFonts w:cs="Arial"/>
          <w:i/>
          <w:lang w:val="en-US"/>
        </w:rPr>
        <w:t>GPRA</w:t>
      </w:r>
      <w:r w:rsidRPr="00EE6B74">
        <w:rPr>
          <w:rFonts w:cs="Arial"/>
        </w:rPr>
        <w:t xml:space="preserve">  је</w:t>
      </w:r>
      <w:proofErr w:type="gramEnd"/>
      <w:r w:rsidRPr="00EE6B74">
        <w:rPr>
          <w:rFonts w:cs="Arial"/>
        </w:rPr>
        <w:t xml:space="preserve"> био развој стандардних ме</w:t>
      </w:r>
      <w:r w:rsidR="00A97CD5">
        <w:rPr>
          <w:rFonts w:cs="Arial"/>
        </w:rPr>
        <w:t>ра перформанси за програм „Title</w:t>
      </w:r>
      <w:r w:rsidRPr="00EE6B74">
        <w:rPr>
          <w:rFonts w:cs="Arial"/>
        </w:rPr>
        <w:t xml:space="preserve"> </w:t>
      </w:r>
      <w:r w:rsidRPr="00EE6B74">
        <w:rPr>
          <w:rFonts w:cs="Arial"/>
          <w:lang w:val="en-US"/>
        </w:rPr>
        <w:t>V</w:t>
      </w:r>
      <w:r w:rsidRPr="00EE6B74">
        <w:rPr>
          <w:rFonts w:cs="Arial"/>
        </w:rPr>
        <w:t xml:space="preserve"> “. Да би се позабавио опсегом здравствених питања обухваћених у програму </w:t>
      </w:r>
      <w:r w:rsidR="00A97CD5">
        <w:rPr>
          <w:rFonts w:cs="Arial"/>
        </w:rPr>
        <w:t>„Тitle</w:t>
      </w:r>
      <w:r w:rsidRPr="00EE6B74">
        <w:rPr>
          <w:rFonts w:cs="Arial"/>
        </w:rPr>
        <w:t xml:space="preserve"> </w:t>
      </w:r>
      <w:r w:rsidRPr="00EE6B74">
        <w:rPr>
          <w:rFonts w:cs="Arial"/>
          <w:lang w:val="en-US"/>
        </w:rPr>
        <w:t>V</w:t>
      </w:r>
      <w:r w:rsidRPr="00EE6B74">
        <w:rPr>
          <w:rFonts w:cs="Arial"/>
        </w:rPr>
        <w:t xml:space="preserve">”, модел је развијен под вођством директора, </w:t>
      </w:r>
      <w:r w:rsidRPr="00EE6B74">
        <w:rPr>
          <w:rFonts w:cs="Arial"/>
          <w:i/>
        </w:rPr>
        <w:t>Pete Van Dyke</w:t>
      </w:r>
      <w:r w:rsidRPr="00EE6B74">
        <w:rPr>
          <w:rFonts w:cs="Arial"/>
        </w:rPr>
        <w:t xml:space="preserve">, у којем би се распон услуга могао категоризирати. Модел је постао познат као "пирамида" међу државним и локалним здравственим програмима за мајку и децу који </w:t>
      </w:r>
      <w:proofErr w:type="gramStart"/>
      <w:r w:rsidRPr="00EE6B74">
        <w:rPr>
          <w:rFonts w:cs="Arial"/>
        </w:rPr>
        <w:t>примају  средства</w:t>
      </w:r>
      <w:proofErr w:type="gramEnd"/>
      <w:r w:rsidRPr="00EE6B74">
        <w:rPr>
          <w:rFonts w:cs="Arial"/>
        </w:rPr>
        <w:t xml:space="preserve"> из програма „</w:t>
      </w:r>
      <w:r w:rsidR="00A97CD5">
        <w:rPr>
          <w:rFonts w:cs="Arial"/>
        </w:rPr>
        <w:t>Тitle</w:t>
      </w:r>
      <w:r w:rsidRPr="00EE6B74">
        <w:rPr>
          <w:rFonts w:cs="Arial"/>
        </w:rPr>
        <w:t xml:space="preserve"> </w:t>
      </w:r>
      <w:r w:rsidRPr="00EE6B74">
        <w:rPr>
          <w:rFonts w:cs="Arial"/>
          <w:lang w:val="en-US"/>
        </w:rPr>
        <w:t>V</w:t>
      </w:r>
      <w:r w:rsidRPr="00EE6B74">
        <w:rPr>
          <w:rFonts w:cs="Arial"/>
        </w:rPr>
        <w:t xml:space="preserve">”. </w:t>
      </w:r>
      <w:proofErr w:type="gramStart"/>
      <w:r w:rsidRPr="00EE6B74">
        <w:rPr>
          <w:rFonts w:cs="Arial"/>
        </w:rPr>
        <w:t>Иако је пирамида развијена за употребу у државним програмима за мајку и дете, има примењивост и корисност као свеобухватни оквир за планирање и евалуацију програма јавног здравља.</w:t>
      </w:r>
      <w:proofErr w:type="gramEnd"/>
    </w:p>
    <w:p w:rsidR="00183070" w:rsidRPr="00EE6B74" w:rsidRDefault="00183070" w:rsidP="00183070">
      <w:pPr>
        <w:spacing w:before="0"/>
        <w:ind w:firstLine="720"/>
        <w:rPr>
          <w:rFonts w:cs="Arial"/>
        </w:rPr>
      </w:pPr>
      <w:proofErr w:type="gramStart"/>
      <w:r w:rsidRPr="00EE6B74">
        <w:rPr>
          <w:rFonts w:cs="Arial"/>
        </w:rPr>
        <w:t>Пирамиде имају тенденцију да буду лако разумљиве и да добро функционишу да би се обухватили концепти који се разликују.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Из ових разлога, друге агенције у федералној влади су се ослањале и на пирамиде за приказивање вишеслојних услуга.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На пример, америчко јавно здравство је користило Здравствену пирамиду (</w:t>
      </w:r>
      <w:r w:rsidRPr="00EE6B74">
        <w:rPr>
          <w:rFonts w:cs="Arial"/>
          <w:i/>
        </w:rPr>
        <w:t>U.S. Public Health Service</w:t>
      </w:r>
      <w:r w:rsidRPr="00EE6B74">
        <w:rPr>
          <w:rFonts w:cs="Arial"/>
        </w:rPr>
        <w:t>, 1994) да би се показала слојевита природа примарне, секундарне и терцијарне здравствене заштите.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У подножју те пирамиде је била популација, која има одговарајући ниво у јавној пирамиди здравља.</w:t>
      </w:r>
      <w:proofErr w:type="gramEnd"/>
    </w:p>
    <w:p w:rsidR="00183070" w:rsidRPr="00EE6B74" w:rsidRDefault="00183070" w:rsidP="00183070">
      <w:pPr>
        <w:spacing w:before="0"/>
        <w:ind w:firstLine="720"/>
        <w:rPr>
          <w:rFonts w:cs="Arial"/>
        </w:rPr>
      </w:pPr>
      <w:proofErr w:type="gramStart"/>
      <w:r w:rsidRPr="00EE6B74">
        <w:rPr>
          <w:rFonts w:cs="Arial"/>
        </w:rPr>
        <w:t>Јавна пирамида здравља је подељена у четири секције.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Врх, први део пирамиде садржи директне здравствене услуге, као што је медицинска нега, психолошко саветовање, болничко лечење и фармацеутске услуге.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На овом нивоу пирамиде, програми се достављају појединцима, било пацијентима, клијентима или чак студентима.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Уопштено, програми на директном нивоу услуга имају директан и често релативно непосредан утицај на појединачне учеснике здравственог програма.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Директне услуге појављују се на самом врху пирамиде да би се обухватила најмања пропорција становништва.</w:t>
      </w:r>
      <w:proofErr w:type="gramEnd"/>
    </w:p>
    <w:p w:rsidR="00183070" w:rsidRPr="00EE6B74" w:rsidRDefault="00183070" w:rsidP="00183070">
      <w:pPr>
        <w:spacing w:before="0"/>
        <w:ind w:firstLine="720"/>
        <w:rPr>
          <w:rFonts w:cs="Arial"/>
        </w:rPr>
      </w:pPr>
      <w:r w:rsidRPr="00EE6B74">
        <w:rPr>
          <w:rFonts w:cs="Arial"/>
          <w:noProof/>
          <w:lang w:val="en-US"/>
        </w:rPr>
        <w:lastRenderedPageBreak/>
        <w:drawing>
          <wp:inline distT="0" distB="0" distL="0" distR="0">
            <wp:extent cx="5057775" cy="2981325"/>
            <wp:effectExtent l="19050" t="0" r="28575" b="0"/>
            <wp:docPr id="2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183070" w:rsidRPr="00EE6B74" w:rsidRDefault="00183070" w:rsidP="00D23FC9">
      <w:pPr>
        <w:jc w:val="center"/>
        <w:rPr>
          <w:rFonts w:cs="Arial"/>
          <w:b/>
        </w:rPr>
      </w:pPr>
      <w:proofErr w:type="gramStart"/>
      <w:r w:rsidRPr="00EE6B74">
        <w:rPr>
          <w:rFonts w:cs="Arial"/>
          <w:b/>
        </w:rPr>
        <w:t>Фигура 1.</w:t>
      </w:r>
      <w:proofErr w:type="gramEnd"/>
      <w:r w:rsidRPr="00EE6B74">
        <w:rPr>
          <w:rFonts w:cs="Arial"/>
          <w:b/>
        </w:rPr>
        <w:t xml:space="preserve"> Пирамида јавног здравља</w:t>
      </w:r>
    </w:p>
    <w:p w:rsidR="00183070" w:rsidRPr="00EE6B74" w:rsidRDefault="00183070" w:rsidP="00183070">
      <w:pPr>
        <w:spacing w:before="0"/>
        <w:ind w:firstLine="720"/>
        <w:rPr>
          <w:rFonts w:cs="Arial"/>
          <w:b/>
        </w:rPr>
      </w:pPr>
    </w:p>
    <w:p w:rsidR="00183070" w:rsidRPr="00EE6B74" w:rsidRDefault="00183070" w:rsidP="00183070">
      <w:pPr>
        <w:spacing w:before="0"/>
        <w:ind w:firstLine="720"/>
        <w:rPr>
          <w:rFonts w:cs="Arial"/>
          <w:b/>
        </w:rPr>
      </w:pPr>
      <w:proofErr w:type="gramStart"/>
      <w:r w:rsidRPr="00EE6B74">
        <w:rPr>
          <w:rFonts w:cs="Arial"/>
        </w:rPr>
        <w:t>На другом нивоу пирамиде су омогућене службе, које представљају здравствене и социјалне службе које подржавају или допуњују здравствене „агрегате“.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Агрегати се користе за разликовање између појединаца и популација; то су групе особе које деле одређену карактеристику, као што су менталне болести или терминални стадијум болести.</w:t>
      </w:r>
      <w:proofErr w:type="gramEnd"/>
      <w:r w:rsidRPr="00EE6B74">
        <w:rPr>
          <w:rFonts w:cs="Arial"/>
        </w:rPr>
        <w:t xml:space="preserve"> Примери служби које пружају помоћ укључују центре </w:t>
      </w:r>
      <w:r w:rsidR="003774BE">
        <w:rPr>
          <w:rFonts w:cs="Arial"/>
        </w:rPr>
        <w:t xml:space="preserve">за ментално здравље, </w:t>
      </w:r>
      <w:r w:rsidRPr="00EE6B74">
        <w:rPr>
          <w:rFonts w:cs="Arial"/>
        </w:rPr>
        <w:t>програме</w:t>
      </w:r>
      <w:r w:rsidR="003774BE">
        <w:rPr>
          <w:rFonts w:cs="Arial"/>
        </w:rPr>
        <w:t xml:space="preserve"> за палијативно збрињавање</w:t>
      </w:r>
      <w:r w:rsidR="00F467CA">
        <w:rPr>
          <w:rFonts w:cs="Arial"/>
        </w:rPr>
        <w:t>,</w:t>
      </w:r>
      <w:r w:rsidR="00F467CA">
        <w:rPr>
          <w:rFonts w:cs="Arial"/>
          <w:lang/>
        </w:rPr>
        <w:t xml:space="preserve"> </w:t>
      </w:r>
      <w:r w:rsidRPr="00EE6B74">
        <w:rPr>
          <w:rFonts w:cs="Arial"/>
        </w:rPr>
        <w:t xml:space="preserve">програме финансијске помоћи који обезбеђују превоз до медицинске неге, управљање случајевима у заједници </w:t>
      </w:r>
      <w:r w:rsidR="00F467CA">
        <w:rPr>
          <w:rFonts w:cs="Arial"/>
        </w:rPr>
        <w:t>за пацијенте који болују од А</w:t>
      </w:r>
      <w:r w:rsidR="00F467CA">
        <w:rPr>
          <w:rFonts w:cs="Arial"/>
          <w:lang/>
        </w:rPr>
        <w:t>IDS</w:t>
      </w:r>
      <w:r w:rsidRPr="00EE6B74">
        <w:rPr>
          <w:rFonts w:cs="Arial"/>
        </w:rPr>
        <w:t xml:space="preserve">-а, програми едукације о исхрани у школама и центрима за бригу о деци на радном месту. </w:t>
      </w:r>
      <w:proofErr w:type="gramStart"/>
      <w:r w:rsidRPr="00EE6B74">
        <w:rPr>
          <w:rFonts w:cs="Arial"/>
        </w:rPr>
        <w:t>Као што овај списак програма показује, услуге на овом нивоу могу директно или индиректно допринети здрављу појединцима, породицама и заједницама.</w:t>
      </w:r>
      <w:proofErr w:type="gramEnd"/>
    </w:p>
    <w:p w:rsidR="00183070" w:rsidRPr="00EE6B74" w:rsidRDefault="00183070" w:rsidP="00183070">
      <w:pPr>
        <w:spacing w:before="0"/>
        <w:ind w:firstLine="720"/>
        <w:rPr>
          <w:rFonts w:cs="Arial"/>
        </w:rPr>
      </w:pPr>
      <w:proofErr w:type="gramStart"/>
      <w:r w:rsidRPr="00EE6B74">
        <w:rPr>
          <w:rFonts w:cs="Arial"/>
        </w:rPr>
        <w:t>Следећи, свеобухватнији ниво пирамиде јавног здравља јесу службе базиране на становништву.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На нивоу популације пирамиде, услуге се достављају целокупном становништву, као што су сва лица која живе у граду, држави или региону.</w:t>
      </w:r>
      <w:proofErr w:type="gramEnd"/>
      <w:r w:rsidRPr="00EE6B74">
        <w:rPr>
          <w:rFonts w:cs="Arial"/>
        </w:rPr>
        <w:t xml:space="preserve"> Примери популацијских услуге укључују програме имунизације </w:t>
      </w:r>
      <w:r w:rsidR="00F467CA">
        <w:rPr>
          <w:rFonts w:cs="Arial"/>
        </w:rPr>
        <w:t xml:space="preserve">за сву децу у округу, скрининг </w:t>
      </w:r>
      <w:r w:rsidRPr="00EE6B74">
        <w:rPr>
          <w:rFonts w:cs="Arial"/>
        </w:rPr>
        <w:t>новорођенчади за сву децу рођену у држави, инспекције сигурности хране које се спроводе под покровитељством савезних прописа, програми за сигурност на радном месту, нутритивне декларације на храни и програм за труднице чији п</w:t>
      </w:r>
      <w:r w:rsidR="00F467CA">
        <w:rPr>
          <w:rFonts w:cs="Arial"/>
        </w:rPr>
        <w:t xml:space="preserve">риходи падају испод федералних </w:t>
      </w:r>
      <w:r w:rsidRPr="00EE6B74">
        <w:rPr>
          <w:rFonts w:cs="Arial"/>
        </w:rPr>
        <w:t>смернице за сиромаштво.</w:t>
      </w:r>
    </w:p>
    <w:p w:rsidR="00183070" w:rsidRPr="00EE6B74" w:rsidRDefault="00183070" w:rsidP="00183070">
      <w:pPr>
        <w:spacing w:before="0"/>
        <w:ind w:firstLine="720"/>
        <w:rPr>
          <w:rFonts w:cs="Arial"/>
        </w:rPr>
      </w:pPr>
      <w:proofErr w:type="gramStart"/>
      <w:r w:rsidRPr="00EE6B74">
        <w:rPr>
          <w:rFonts w:cs="Arial"/>
        </w:rPr>
        <w:t>Као што овај списак одражава, разлика између агрегата и популације може бити нејасна.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Програми на овом нивоу обично су намењени за целу популацију, понекад без свесне укључености појединаца.</w:t>
      </w:r>
      <w:proofErr w:type="gramEnd"/>
      <w:r w:rsidRPr="00EE6B74">
        <w:rPr>
          <w:rFonts w:cs="Arial"/>
        </w:rPr>
        <w:t xml:space="preserve">  </w:t>
      </w:r>
      <w:proofErr w:type="gramStart"/>
      <w:r w:rsidRPr="00EE6B74">
        <w:rPr>
          <w:rFonts w:cs="Arial"/>
        </w:rPr>
        <w:t>У том смислу, појединци примају здравствени програм заснован на популацији, као што је флуорисање воде, радије него да учествују у програму, као што је сеанса о престанку пушења.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У оквиру јавног здравља и здравствених дисциплина, социјалне детерминанте здравља су добиле већу пажњу.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Интервенције и програми који имају за циљ промену социо-економског контекста у којем живе популације би био укључен у тај популациони ниво пирамиде.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Свакако, програми на нивоу становништва доприносе здрављу како појединаца, тако и кумулативно, на здравствени статус целокупног становништва.</w:t>
      </w:r>
      <w:proofErr w:type="gramEnd"/>
    </w:p>
    <w:p w:rsidR="00183070" w:rsidRPr="00EE6B74" w:rsidRDefault="00183070" w:rsidP="00183070">
      <w:pPr>
        <w:spacing w:before="0"/>
        <w:ind w:firstLine="720"/>
        <w:rPr>
          <w:rFonts w:cs="Arial"/>
        </w:rPr>
      </w:pPr>
      <w:proofErr w:type="gramStart"/>
      <w:r w:rsidRPr="00EE6B74">
        <w:rPr>
          <w:rFonts w:cs="Arial"/>
        </w:rPr>
        <w:t>У основи, односно бази пирамиде је инфраструктура здравственог система и система јавног здравља.</w:t>
      </w:r>
      <w:proofErr w:type="gramEnd"/>
      <w:r w:rsidRPr="00EE6B74">
        <w:rPr>
          <w:rFonts w:cs="Arial"/>
        </w:rPr>
        <w:t xml:space="preserve"> Здравствене услуге на другим нивоима пирамиде не би биле могуће, осим ако не постоје квалификовани здравствени професионалци, закони и прописи који се односе на здравље људи, осигурање и побољшање квалитета програма,  лидерство и менаџерски надзор, планирање и програм здравствене евалуације, информациони системи и технолошки ресурси. </w:t>
      </w:r>
      <w:proofErr w:type="gramStart"/>
      <w:r w:rsidRPr="00EE6B74">
        <w:rPr>
          <w:rFonts w:cs="Arial"/>
        </w:rPr>
        <w:t>Планирање и евалуација здравствених програма на нивоу директних, омогућених и популационих услуга јесте основна компонента инфраструктуре, то су све инфраструктурне активности.</w:t>
      </w:r>
      <w:proofErr w:type="gramEnd"/>
    </w:p>
    <w:p w:rsidR="00183070" w:rsidRPr="00EE6B74" w:rsidRDefault="00183070" w:rsidP="00183070">
      <w:pPr>
        <w:spacing w:before="0"/>
        <w:ind w:firstLine="720"/>
        <w:rPr>
          <w:rFonts w:cs="Arial"/>
        </w:rPr>
      </w:pPr>
    </w:p>
    <w:p w:rsidR="00183070" w:rsidRPr="00BA0B83" w:rsidRDefault="00183070" w:rsidP="00BA0B83">
      <w:pPr>
        <w:pStyle w:val="Heading3"/>
      </w:pPr>
      <w:bookmarkStart w:id="12" w:name="_Toc535961283"/>
      <w:bookmarkStart w:id="13" w:name="_Toc4073256"/>
      <w:bookmarkStart w:id="14" w:name="_Toc8738404"/>
      <w:r w:rsidRPr="00BA0B83">
        <w:lastRenderedPageBreak/>
        <w:t>Употреба пирамиде јавног здравља у планирању и евалуацији програма</w:t>
      </w:r>
      <w:bookmarkEnd w:id="12"/>
      <w:bookmarkEnd w:id="13"/>
      <w:bookmarkEnd w:id="14"/>
    </w:p>
    <w:p w:rsidR="00183070" w:rsidRPr="00EE6B74" w:rsidRDefault="00183070" w:rsidP="00183070">
      <w:pPr>
        <w:spacing w:before="0"/>
        <w:rPr>
          <w:rFonts w:cs="Arial"/>
        </w:rPr>
      </w:pPr>
      <w:proofErr w:type="gramStart"/>
      <w:r w:rsidRPr="00EE6B74">
        <w:rPr>
          <w:rFonts w:cs="Arial"/>
        </w:rPr>
        <w:t>Здравствени програми постоје изван нивоа пирамиде, а евалуације ових програма су неопходне.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Међутим, на сваком нивоу пирамиде, одређена питања која су јединствена за тај ниво морају постојати у оквиру развоја здравствених програма.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Према томе, врсте здравствених радника и потребне врсте стручности разликују се по нивоу пирамида, појачавајући потребу за усклађивањем програма, учесника и провајдера на одговарајући начин.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Слично томе, сваки ниво пирамиде карактеришу јединствени изазови за евалуацију програма.</w:t>
      </w:r>
      <w:proofErr w:type="gramEnd"/>
      <w:r w:rsidRPr="00EE6B74">
        <w:rPr>
          <w:rFonts w:cs="Arial"/>
        </w:rPr>
        <w:t xml:space="preserve"> Из тог разлога</w:t>
      </w:r>
      <w:proofErr w:type="gramStart"/>
      <w:r w:rsidRPr="00EE6B74">
        <w:rPr>
          <w:rFonts w:cs="Arial"/>
        </w:rPr>
        <w:t>,  пирамида</w:t>
      </w:r>
      <w:proofErr w:type="gramEnd"/>
      <w:r w:rsidRPr="00EE6B74">
        <w:rPr>
          <w:rFonts w:cs="Arial"/>
        </w:rPr>
        <w:t xml:space="preserve"> јавног здравља је изузетно користан оквир за помоћ у расветљавању тих разлика, питања и изазова, као и могућности да се учврсте здравствени програми потребни у целој ЕУ. </w:t>
      </w:r>
      <w:proofErr w:type="gramStart"/>
      <w:r w:rsidRPr="00EE6B74">
        <w:rPr>
          <w:rFonts w:cs="Arial"/>
        </w:rPr>
        <w:t>Пирамида даје разлог за размишљање само о оним програмима који су потребни за побољшање здравља људи који су на одговарајући начи на нивоу директних услуга.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Исто тако је тешко и скупо постићи исти број особа са програмом директних услуга као што је то случај са програмом услуга за становништво.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Пирамида такође служи као подсетник да су интересне групе усклађене и одане што може бити специфично за ниво пирамиде.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На пример, школски здравствени програм (програм на нивоу оспособљавања) ће имати различит скуп учесника и заинтересованих страна него програм сигурности на аутопуту (програм на нивоу становништва).</w:t>
      </w:r>
      <w:proofErr w:type="gramEnd"/>
      <w:r w:rsidRPr="00EE6B74">
        <w:rPr>
          <w:rFonts w:cs="Arial"/>
        </w:rPr>
        <w:tab/>
        <w:t xml:space="preserve">Пирамида јавног здравља има посебан значај за јавне здравствене агенције бавећи се трима основним функцијама јавног здравља (Институт за Медицину, 1988): процена, сигурност и политика. </w:t>
      </w:r>
      <w:proofErr w:type="gramStart"/>
      <w:r w:rsidRPr="00EE6B74">
        <w:rPr>
          <w:rFonts w:cs="Arial"/>
        </w:rPr>
        <w:t>Ове основне функције су очигледне, у различитим облицима, на сваком нивоу пирамиде.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Слично томе, пирамида се може применити на стратешке планове организација у приватном здравственом сектору.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За оптимално планирање здравственог програм</w:t>
      </w:r>
      <w:r w:rsidR="00185882">
        <w:rPr>
          <w:rFonts w:cs="Arial"/>
        </w:rPr>
        <w:t>а</w:t>
      </w:r>
      <w:r w:rsidRPr="00EE6B74">
        <w:rPr>
          <w:rFonts w:cs="Arial"/>
        </w:rPr>
        <w:t>, сваки здравствени програм који се развија или имплементира треба размотрити у односу на услуге, програме и здравствене потребе на другим нивоима пирамиде.</w:t>
      </w:r>
      <w:proofErr w:type="gramEnd"/>
      <w:r w:rsidRPr="00EE6B74">
        <w:rPr>
          <w:rFonts w:cs="Arial"/>
        </w:rPr>
        <w:t xml:space="preserve"> </w:t>
      </w:r>
    </w:p>
    <w:p w:rsidR="00183070" w:rsidRPr="00EE6B74" w:rsidRDefault="00183070" w:rsidP="00183070">
      <w:pPr>
        <w:spacing w:before="0"/>
        <w:ind w:firstLine="720"/>
        <w:rPr>
          <w:rFonts w:cs="Arial"/>
        </w:rPr>
      </w:pPr>
      <w:proofErr w:type="gramStart"/>
      <w:r w:rsidRPr="00EE6B74">
        <w:rPr>
          <w:rFonts w:cs="Arial"/>
        </w:rPr>
        <w:t>Пирамида јавног здравља се користи у образовању и обуци јавног здравственог особљ</w:t>
      </w:r>
      <w:r w:rsidRPr="00EE6B74">
        <w:rPr>
          <w:rFonts w:cs="Arial"/>
          <w:lang w:val="en-US"/>
        </w:rPr>
        <w:t>a</w:t>
      </w:r>
      <w:r w:rsidRPr="00EE6B74">
        <w:rPr>
          <w:rFonts w:cs="Arial"/>
        </w:rPr>
        <w:t xml:space="preserve"> (</w:t>
      </w:r>
      <w:r w:rsidRPr="00EE6B74">
        <w:rPr>
          <w:rFonts w:cs="Arial"/>
          <w:i/>
        </w:rPr>
        <w:t>Mixon</w:t>
      </w:r>
      <w:r w:rsidRPr="00EE6B74">
        <w:rPr>
          <w:rFonts w:cs="Arial"/>
        </w:rPr>
        <w:t>, 2002), за објашњење услуга које се пружају деци са посебним здравственим потребама (</w:t>
      </w:r>
      <w:r w:rsidRPr="00EE6B74">
        <w:rPr>
          <w:rFonts w:cs="Arial"/>
          <w:i/>
        </w:rPr>
        <w:t>Colorado Department of Public Health and Environment</w:t>
      </w:r>
      <w:r w:rsidRPr="00EE6B74">
        <w:rPr>
          <w:rFonts w:cs="Arial"/>
        </w:rPr>
        <w:t>) и за образовање општег здравственог особља (</w:t>
      </w:r>
      <w:r w:rsidRPr="00EE6B74">
        <w:rPr>
          <w:rFonts w:cs="Arial"/>
          <w:i/>
        </w:rPr>
        <w:t>Rocky Mountain Public Health Education Consortium</w:t>
      </w:r>
      <w:r w:rsidRPr="00EE6B74">
        <w:rPr>
          <w:rFonts w:cs="Arial"/>
        </w:rPr>
        <w:t>, 2004).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Остале здравствене и људске службе су користиле пирамиде како би објасниле организацију услуга.</w:t>
      </w:r>
      <w:proofErr w:type="gramEnd"/>
      <w:r w:rsidRPr="00EE6B74">
        <w:rPr>
          <w:rFonts w:cs="Arial"/>
        </w:rPr>
        <w:t xml:space="preserve"> На пример, Управа за злоупотребу супстанци и услуге менталног </w:t>
      </w:r>
      <w:proofErr w:type="gramStart"/>
      <w:r w:rsidRPr="00EE6B74">
        <w:rPr>
          <w:rFonts w:cs="Arial"/>
        </w:rPr>
        <w:t>здравља  користи</w:t>
      </w:r>
      <w:proofErr w:type="gramEnd"/>
      <w:r w:rsidRPr="00EE6B74">
        <w:rPr>
          <w:rFonts w:cs="Arial"/>
        </w:rPr>
        <w:t xml:space="preserve"> пирамиду да објасни трошкове за услуге менталног здравља.</w:t>
      </w:r>
    </w:p>
    <w:p w:rsidR="00183070" w:rsidRPr="00EE6B74" w:rsidRDefault="00183070" w:rsidP="00183070">
      <w:pPr>
        <w:spacing w:before="0"/>
        <w:ind w:firstLine="720"/>
        <w:rPr>
          <w:rFonts w:cs="Arial"/>
        </w:rPr>
      </w:pPr>
    </w:p>
    <w:p w:rsidR="00183070" w:rsidRPr="005814B6" w:rsidRDefault="00183070" w:rsidP="005814B6">
      <w:pPr>
        <w:pStyle w:val="Heading3"/>
      </w:pPr>
      <w:bookmarkStart w:id="15" w:name="_Toc535961284"/>
      <w:bookmarkStart w:id="16" w:name="_Toc4073257"/>
      <w:bookmarkStart w:id="17" w:name="_Toc8738405"/>
      <w:r w:rsidRPr="005814B6">
        <w:t>Пирамида јавног здравља као еколошки модел</w:t>
      </w:r>
      <w:bookmarkEnd w:id="15"/>
      <w:bookmarkEnd w:id="16"/>
      <w:bookmarkEnd w:id="17"/>
    </w:p>
    <w:p w:rsidR="00183070" w:rsidRPr="00EE6B74" w:rsidRDefault="00183070" w:rsidP="005814B6">
      <w:pPr>
        <w:rPr>
          <w:rFonts w:cs="Arial"/>
        </w:rPr>
      </w:pPr>
      <w:proofErr w:type="gramStart"/>
      <w:r w:rsidRPr="00EE6B74">
        <w:rPr>
          <w:rFonts w:cs="Arial"/>
        </w:rPr>
        <w:t>Појединачно понашање и здравље сада се схватају као да су под утицајем друштвеног и физичко окружење појединаца.</w:t>
      </w:r>
      <w:proofErr w:type="gramEnd"/>
      <w:r w:rsidRPr="00EE6B74">
        <w:rPr>
          <w:rFonts w:cs="Arial"/>
        </w:rPr>
        <w:t xml:space="preserve"> </w:t>
      </w:r>
    </w:p>
    <w:p w:rsidR="00183070" w:rsidRPr="00EE6B74" w:rsidRDefault="00BA4AA2" w:rsidP="00DB31C6">
      <w:pPr>
        <w:jc w:val="left"/>
        <w:rPr>
          <w:rFonts w:cs="Arial"/>
          <w:b/>
        </w:rPr>
      </w:pPr>
      <w:r w:rsidRPr="00BA4AA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30" type="#_x0000_t202" style="position:absolute;margin-left:149.9pt;margin-top:24.05pt;width:211.8pt;height:33.4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" fillcolor="#b8cce4 [1300]" stroked="f">
            <v:fill color2="#ededed" rotate="t"/>
            <v:shadow on="t" color="black" opacity="24903f" origin=",.5" offset="0,.55556mm"/>
            <v:textbox style="mso-next-textbox:#Text Box 10">
              <w:txbxContent>
                <w:p w:rsidR="00183070" w:rsidRPr="00B3367C" w:rsidRDefault="00183070" w:rsidP="00185882">
                  <w:pPr>
                    <w:jc w:val="center"/>
                    <w:rPr>
                      <w:b/>
                      <w:sz w:val="18"/>
                    </w:rPr>
                  </w:pPr>
                  <w:r w:rsidRPr="00B3367C">
                    <w:rPr>
                      <w:b/>
                      <w:sz w:val="18"/>
                    </w:rPr>
                    <w:t>Јавна здравствена и приватна здравствена инфраструктура</w:t>
                  </w:r>
                </w:p>
              </w:txbxContent>
            </v:textbox>
          </v:shape>
        </w:pict>
      </w:r>
      <w:r w:rsidRPr="00BA4AA2">
        <w:rPr>
          <w:noProof/>
        </w:rPr>
        <w:pict>
          <v:shape id="Text Box 16" o:spid="_x0000_s1034" type="#_x0000_t202" style="position:absolute;margin-left:211pt;margin-top:92.6pt;width:109.65pt;height:30.95pt;z-index:25166848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" fillcolor="window" stroked="f" strokeweight=".5pt">
            <v:textbox style="mso-next-textbox:#Text Box 16">
              <w:txbxContent>
                <w:p w:rsidR="00183070" w:rsidRPr="00B3367C" w:rsidRDefault="00183070" w:rsidP="00185882">
                  <w:pPr>
                    <w:jc w:val="center"/>
                    <w:rPr>
                      <w:b/>
                      <w:sz w:val="14"/>
                    </w:rPr>
                  </w:pPr>
                  <w:r w:rsidRPr="00B3367C">
                    <w:rPr>
                      <w:b/>
                      <w:sz w:val="16"/>
                    </w:rPr>
                    <w:t>Породице</w:t>
                  </w:r>
                  <w:proofErr w:type="gramStart"/>
                  <w:r w:rsidRPr="00B3367C">
                    <w:rPr>
                      <w:b/>
                      <w:sz w:val="14"/>
                    </w:rPr>
                    <w:t>,</w:t>
                  </w:r>
                  <w:r w:rsidRPr="00B3367C">
                    <w:rPr>
                      <w:b/>
                      <w:sz w:val="16"/>
                    </w:rPr>
                    <w:t>комшилук</w:t>
                  </w:r>
                  <w:proofErr w:type="gramEnd"/>
                  <w:r w:rsidRPr="00B3367C">
                    <w:rPr>
                      <w:b/>
                      <w:sz w:val="16"/>
                    </w:rPr>
                    <w:t>,</w:t>
                  </w:r>
                  <w:r>
                    <w:rPr>
                      <w:b/>
                      <w:sz w:val="16"/>
                    </w:rPr>
                    <w:t xml:space="preserve"> </w:t>
                  </w:r>
                  <w:r w:rsidRPr="00B3367C">
                    <w:rPr>
                      <w:b/>
                      <w:sz w:val="16"/>
                    </w:rPr>
                    <w:t>заједнице</w:t>
                  </w:r>
                </w:p>
              </w:txbxContent>
            </v:textbox>
          </v:shape>
        </w:pict>
      </w:r>
      <w:r w:rsidRPr="00BA4AA2">
        <w:rPr>
          <w:noProof/>
        </w:rPr>
        <w:pict>
          <v:shape id="Text Box 13" o:spid="_x0000_s1033" type="#_x0000_t202" style="position:absolute;margin-left:176.9pt;margin-top:201.7pt;width:152.35pt;height:25.1pt;z-index:25166745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" fillcolor="window" stroked="f" strokeweight=".5pt">
            <v:textbox style="mso-next-textbox:#Text Box 13">
              <w:txbxContent>
                <w:p w:rsidR="00183070" w:rsidRDefault="00183070" w:rsidP="00185882">
                  <w:pPr>
                    <w:jc w:val="center"/>
                    <w:rPr>
                      <w:b/>
                      <w:sz w:val="18"/>
                    </w:rPr>
                  </w:pPr>
                  <w:r w:rsidRPr="00F34FB8">
                    <w:rPr>
                      <w:b/>
                      <w:sz w:val="18"/>
                    </w:rPr>
                    <w:t>Градови,</w:t>
                  </w:r>
                  <w:r w:rsidR="005814B6">
                    <w:rPr>
                      <w:b/>
                      <w:sz w:val="18"/>
                    </w:rPr>
                    <w:t xml:space="preserve"> </w:t>
                  </w:r>
                  <w:r w:rsidRPr="00F34FB8">
                    <w:rPr>
                      <w:b/>
                      <w:sz w:val="18"/>
                    </w:rPr>
                    <w:t>државе,</w:t>
                  </w:r>
                  <w:r w:rsidR="005814B6">
                    <w:rPr>
                      <w:b/>
                      <w:sz w:val="18"/>
                    </w:rPr>
                    <w:t xml:space="preserve"> </w:t>
                  </w:r>
                  <w:r w:rsidRPr="00F34FB8">
                    <w:rPr>
                      <w:b/>
                      <w:sz w:val="18"/>
                    </w:rPr>
                    <w:t>нације</w:t>
                  </w:r>
                </w:p>
                <w:p w:rsidR="00183070" w:rsidRPr="00F34FB8" w:rsidRDefault="00183070" w:rsidP="00183070">
                  <w:pPr>
                    <w:rPr>
                      <w:b/>
                      <w:sz w:val="18"/>
                    </w:rPr>
                  </w:pPr>
                </w:p>
              </w:txbxContent>
            </v:textbox>
          </v:shape>
        </w:pict>
      </w:r>
      <w:r w:rsidRPr="00BA4AA2">
        <w:rPr>
          <w:noProof/>
        </w:rPr>
        <w:pict>
          <v:shape id="Text Box 12" o:spid="_x0000_s1032" type="#_x0000_t202" style="position:absolute;margin-left:192.9pt;margin-top:62.45pt;width:159.9pt;height:22.6pt;z-index:25166643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" fillcolor="window" stroked="f" strokeweight=".5pt">
            <v:textbox style="mso-next-textbox:#Text Box 12">
              <w:txbxContent>
                <w:p w:rsidR="00183070" w:rsidRPr="00F34FB8" w:rsidRDefault="00183070" w:rsidP="00096F31">
                  <w:pPr>
                    <w:jc w:val="center"/>
                    <w:rPr>
                      <w:b/>
                      <w:sz w:val="18"/>
                    </w:rPr>
                  </w:pPr>
                  <w:r w:rsidRPr="00F34FB8">
                    <w:rPr>
                      <w:b/>
                      <w:sz w:val="18"/>
                    </w:rPr>
                    <w:t>Популација</w:t>
                  </w:r>
                </w:p>
              </w:txbxContent>
            </v:textbox>
          </v:shape>
        </w:pict>
      </w:r>
      <w:r w:rsidRPr="00BA4AA2">
        <w:rPr>
          <w:noProof/>
        </w:rPr>
        <w:pict>
          <v:rect id="Rectangle 8" o:spid="_x0000_s1028" style="position:absolute;margin-left:193.9pt;margin-top:89.1pt;width:133.1pt;height:109.6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" fillcolor="window" strokecolor="windowText" strokeweight="2pt">
            <v:textbox style="mso-next-textbox:#Rectangle 8">
              <w:txbxContent>
                <w:p w:rsidR="00183070" w:rsidRDefault="00183070" w:rsidP="00183070">
                  <w:pPr>
                    <w:jc w:val="center"/>
                  </w:pPr>
                </w:p>
              </w:txbxContent>
            </v:textbox>
          </v:rect>
        </w:pict>
      </w:r>
      <w:r w:rsidRPr="00BA4AA2">
        <w:rPr>
          <w:noProof/>
        </w:rPr>
        <w:pict>
          <v:rect id="Rectangle 7" o:spid="_x0000_s1027" style="position:absolute;margin-left:149.7pt;margin-top:58.45pt;width:220.15pt;height:169.9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" fillcolor="window" strokecolor="windowText" strokeweight="2pt"/>
        </w:pict>
      </w:r>
      <w:r w:rsidR="00183070" w:rsidRPr="00EE6B74">
        <w:rPr>
          <w:rFonts w:cs="Arial"/>
          <w:b/>
        </w:rPr>
        <w:t xml:space="preserve">                          </w:t>
      </w:r>
      <w:proofErr w:type="gramStart"/>
      <w:r w:rsidR="00183070" w:rsidRPr="00EE6B74">
        <w:rPr>
          <w:rFonts w:cs="Arial"/>
          <w:b/>
        </w:rPr>
        <w:t>Фигура 2.</w:t>
      </w:r>
      <w:proofErr w:type="gramEnd"/>
      <w:r w:rsidR="00183070" w:rsidRPr="00EE6B74">
        <w:rPr>
          <w:rFonts w:cs="Arial"/>
          <w:b/>
        </w:rPr>
        <w:t xml:space="preserve"> Пирамида јавног здравља као еколошки модел</w:t>
      </w:r>
    </w:p>
    <w:p w:rsidR="00183070" w:rsidRPr="00EE6B74" w:rsidRDefault="00096F31" w:rsidP="00183070">
      <w:pPr>
        <w:spacing w:before="0"/>
        <w:jc w:val="left"/>
        <w:rPr>
          <w:rFonts w:cs="Arial"/>
          <w:b/>
        </w:rPr>
      </w:pPr>
      <w:r w:rsidRPr="00BA4AA2">
        <w:rPr>
          <w:noProof/>
        </w:rPr>
        <w:pict>
          <v:shape id="Text Box 11" o:spid="_x0000_s1031" type="#_x0000_t202" style="position:absolute;margin-left:123.2pt;margin-top:221.05pt;width:285.85pt;height:30.7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" fillcolor="#b8cce4 [1300]" stroked="f">
            <v:fill color2="#ededed" rotate="t"/>
            <v:shadow on="t" color="black" opacity="24903f" origin=",.5" offset="0,.55556mm"/>
            <v:textbox style="mso-next-textbox:#Text Box 11">
              <w:txbxContent>
                <w:p w:rsidR="00183070" w:rsidRPr="00B3367C" w:rsidRDefault="00183070" w:rsidP="00096F31">
                  <w:pPr>
                    <w:spacing w:before="0"/>
                    <w:jc w:val="center"/>
                    <w:rPr>
                      <w:b/>
                      <w:sz w:val="18"/>
                    </w:rPr>
                  </w:pPr>
                  <w:r w:rsidRPr="00B3367C">
                    <w:rPr>
                      <w:b/>
                      <w:sz w:val="18"/>
                    </w:rPr>
                    <w:t>Наука, теорија, пракса, програми, планирање,</w:t>
                  </w:r>
                </w:p>
                <w:p w:rsidR="00183070" w:rsidRDefault="00183070" w:rsidP="00096F31">
                  <w:pPr>
                    <w:spacing w:before="0"/>
                    <w:jc w:val="center"/>
                    <w:rPr>
                      <w:b/>
                      <w:sz w:val="18"/>
                    </w:rPr>
                  </w:pPr>
                  <w:proofErr w:type="gramStart"/>
                  <w:r w:rsidRPr="00B3367C">
                    <w:rPr>
                      <w:b/>
                      <w:sz w:val="18"/>
                    </w:rPr>
                    <w:t>структура</w:t>
                  </w:r>
                  <w:proofErr w:type="gramEnd"/>
                  <w:r w:rsidRPr="00B3367C">
                    <w:rPr>
                      <w:b/>
                      <w:sz w:val="18"/>
                    </w:rPr>
                    <w:t>, политике, ресурси, евалуација</w:t>
                  </w:r>
                </w:p>
                <w:p w:rsidR="00183070" w:rsidRPr="004330AE" w:rsidRDefault="00183070" w:rsidP="00183070">
                  <w:pPr>
                    <w:spacing w:before="0"/>
                    <w:rPr>
                      <w:b/>
                      <w:sz w:val="18"/>
                    </w:rPr>
                  </w:pPr>
                </w:p>
              </w:txbxContent>
            </v:textbox>
          </v:shape>
        </w:pict>
      </w:r>
      <w:r w:rsidRPr="00BA4AA2">
        <w:rPr>
          <w:noProof/>
        </w:rPr>
        <w:pict>
          <v:rect id="Rectangle 6" o:spid="_x0000_s1026" style="position:absolute;margin-left:123.2pt;margin-top:6.25pt;width:285.85pt;height:245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" fillcolor="#b8cce4 [1300]">
            <v:fill color2="#ededed" rotate="t"/>
            <v:shadow on="t" color="black" opacity="24903f" origin=",.5" offset="0,.55556mm"/>
            <v:textbox style="mso-next-textbox:#Rectangle 6">
              <w:txbxContent>
                <w:p w:rsidR="00183070" w:rsidRDefault="00183070" w:rsidP="00183070">
                  <w:pPr>
                    <w:jc w:val="center"/>
                  </w:pPr>
                </w:p>
                <w:p w:rsidR="00183070" w:rsidRDefault="00183070" w:rsidP="00183070">
                  <w:pPr>
                    <w:jc w:val="center"/>
                  </w:pPr>
                </w:p>
                <w:p w:rsidR="00183070" w:rsidRDefault="00183070" w:rsidP="00183070">
                  <w:pPr>
                    <w:jc w:val="center"/>
                  </w:pPr>
                </w:p>
                <w:p w:rsidR="00183070" w:rsidRDefault="00183070" w:rsidP="00183070">
                  <w:pPr>
                    <w:jc w:val="center"/>
                  </w:pPr>
                </w:p>
                <w:p w:rsidR="00183070" w:rsidRDefault="00183070" w:rsidP="00183070">
                  <w:pPr>
                    <w:jc w:val="center"/>
                  </w:pPr>
                </w:p>
                <w:p w:rsidR="00183070" w:rsidRDefault="00183070" w:rsidP="00183070">
                  <w:pPr>
                    <w:jc w:val="center"/>
                  </w:pPr>
                </w:p>
                <w:p w:rsidR="00183070" w:rsidRDefault="00183070" w:rsidP="00183070">
                  <w:pPr>
                    <w:jc w:val="center"/>
                  </w:pPr>
                </w:p>
                <w:p w:rsidR="00183070" w:rsidRDefault="00183070" w:rsidP="00183070">
                  <w:pPr>
                    <w:jc w:val="center"/>
                  </w:pPr>
                </w:p>
                <w:p w:rsidR="00183070" w:rsidRDefault="00183070" w:rsidP="00183070">
                  <w:pPr>
                    <w:jc w:val="center"/>
                  </w:pPr>
                </w:p>
                <w:p w:rsidR="00183070" w:rsidRDefault="00183070" w:rsidP="00183070">
                  <w:pPr>
                    <w:jc w:val="center"/>
                  </w:pPr>
                </w:p>
                <w:p w:rsidR="00183070" w:rsidRDefault="00183070" w:rsidP="00183070">
                  <w:pPr>
                    <w:jc w:val="center"/>
                  </w:pPr>
                </w:p>
                <w:p w:rsidR="00183070" w:rsidRDefault="00183070" w:rsidP="00183070">
                  <w:pPr>
                    <w:jc w:val="center"/>
                  </w:pPr>
                </w:p>
                <w:p w:rsidR="00183070" w:rsidRDefault="00183070" w:rsidP="00183070">
                  <w:pPr>
                    <w:jc w:val="center"/>
                  </w:pPr>
                </w:p>
                <w:p w:rsidR="00183070" w:rsidRDefault="00183070" w:rsidP="00183070">
                  <w:pPr>
                    <w:jc w:val="center"/>
                  </w:pPr>
                </w:p>
                <w:p w:rsidR="00183070" w:rsidRDefault="00183070" w:rsidP="00183070">
                  <w:pPr>
                    <w:jc w:val="center"/>
                  </w:pPr>
                </w:p>
                <w:p w:rsidR="00183070" w:rsidRDefault="00183070" w:rsidP="00183070">
                  <w:pPr>
                    <w:jc w:val="center"/>
                  </w:pPr>
                </w:p>
                <w:p w:rsidR="00183070" w:rsidRPr="004330AE" w:rsidRDefault="00183070" w:rsidP="00183070">
                  <w:pPr>
                    <w:jc w:val="center"/>
                  </w:pPr>
                </w:p>
              </w:txbxContent>
            </v:textbox>
          </v:rect>
        </w:pict>
      </w:r>
      <w:r w:rsidR="00BA4AA2" w:rsidRPr="00BA4AA2">
        <w:rPr>
          <w:noProof/>
        </w:rPr>
        <w:pict>
          <v:rect id="Rectangle 9" o:spid="_x0000_s1029" style="position:absolute;margin-left:230.35pt;margin-top:112.25pt;width:62.4pt;height:36.4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" fillcolor="window" strokecolor="windowText" strokeweight="2pt">
            <v:textbox style="mso-next-textbox:#Rectangle 9">
              <w:txbxContent>
                <w:p w:rsidR="00183070" w:rsidRPr="005814B6" w:rsidRDefault="00183070" w:rsidP="00183070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5814B6">
                    <w:rPr>
                      <w:b/>
                      <w:sz w:val="14"/>
                      <w:szCs w:val="14"/>
                    </w:rPr>
                    <w:t>Појединац</w:t>
                  </w:r>
                </w:p>
              </w:txbxContent>
            </v:textbox>
          </v:rect>
        </w:pict>
      </w:r>
      <w:r w:rsidR="00183070" w:rsidRPr="00EE6B74">
        <w:rPr>
          <w:rFonts w:cs="Arial"/>
          <w:b/>
        </w:rPr>
        <w:br w:type="page"/>
      </w:r>
    </w:p>
    <w:p w:rsidR="00DB31C6" w:rsidRPr="00EE6B74" w:rsidRDefault="00DB31C6" w:rsidP="00DB31C6">
      <w:pPr>
        <w:ind w:firstLine="720"/>
        <w:rPr>
          <w:rFonts w:cs="Arial"/>
        </w:rPr>
      </w:pPr>
      <w:bookmarkStart w:id="18" w:name="_Toc535961285"/>
      <w:bookmarkStart w:id="19" w:name="_Toc4073258"/>
      <w:proofErr w:type="gramStart"/>
      <w:r w:rsidRPr="00EE6B74">
        <w:rPr>
          <w:rFonts w:cs="Arial"/>
        </w:rPr>
        <w:lastRenderedPageBreak/>
        <w:t>Ово запажање се огледа у расту коришћењ</w:t>
      </w:r>
      <w:r w:rsidRPr="00EE6B74">
        <w:rPr>
          <w:rFonts w:cs="Arial"/>
          <w:lang w:val="en-US"/>
        </w:rPr>
        <w:t>a</w:t>
      </w:r>
      <w:r w:rsidRPr="00EE6B74">
        <w:rPr>
          <w:rFonts w:cs="Arial"/>
        </w:rPr>
        <w:t xml:space="preserve"> еколошког приступа здравственим услугама и програмима јавног здравља.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Еколошки приступ, који је произашао из теорије система примењених на појединце и породице (</w:t>
      </w:r>
      <w:r w:rsidRPr="00EE6B74">
        <w:rPr>
          <w:rFonts w:cs="Arial"/>
          <w:i/>
          <w:color w:val="auto"/>
          <w:lang w:val="en-US"/>
        </w:rPr>
        <w:t>Bronfenbrenner</w:t>
      </w:r>
      <w:r w:rsidRPr="00EE6B74">
        <w:rPr>
          <w:rFonts w:cs="Arial"/>
          <w:color w:val="auto"/>
        </w:rPr>
        <w:t>, 1970, 1989</w:t>
      </w:r>
      <w:r w:rsidRPr="00EE6B74">
        <w:rPr>
          <w:rFonts w:cs="Arial"/>
        </w:rPr>
        <w:t>), указује да се на појединце може утицати дејством фактора у њиховом непосредном друштвеном и физичком окружењу.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Ова перспектива је проширена у перспективу друштвених детерминанти јавног здравља, која има широко прихватање (</w:t>
      </w:r>
      <w:r w:rsidRPr="00EE6B74">
        <w:rPr>
          <w:rFonts w:cs="Arial"/>
          <w:i/>
        </w:rPr>
        <w:t>Friedan</w:t>
      </w:r>
      <w:r w:rsidRPr="00EE6B74">
        <w:rPr>
          <w:rFonts w:cs="Arial"/>
        </w:rPr>
        <w:t>, 2010).</w:t>
      </w:r>
      <w:proofErr w:type="gramEnd"/>
      <w:r w:rsidRPr="00EE6B74">
        <w:rPr>
          <w:rFonts w:cs="Arial"/>
        </w:rPr>
        <w:t xml:space="preserve"> Појединац се посматра као </w:t>
      </w:r>
      <w:proofErr w:type="gramStart"/>
      <w:r w:rsidRPr="00EE6B74">
        <w:rPr>
          <w:rFonts w:cs="Arial"/>
        </w:rPr>
        <w:t>члан  друштвене</w:t>
      </w:r>
      <w:proofErr w:type="gramEnd"/>
      <w:r w:rsidRPr="00EE6B74">
        <w:rPr>
          <w:rFonts w:cs="Arial"/>
        </w:rPr>
        <w:t xml:space="preserve"> мреже, обично породице, која је члан веће друштвене мреже, као што је суседство или заједница. </w:t>
      </w:r>
      <w:proofErr w:type="gramStart"/>
      <w:r w:rsidRPr="00EE6B74">
        <w:rPr>
          <w:rFonts w:cs="Arial"/>
        </w:rPr>
        <w:t>На</w:t>
      </w:r>
      <w:r w:rsidR="00CF3363">
        <w:rPr>
          <w:rFonts w:cs="Arial"/>
        </w:rPr>
        <w:t>чин на који се појединци у</w:t>
      </w:r>
      <w:r w:rsidR="00CF3363">
        <w:rPr>
          <w:rFonts w:cs="Arial"/>
          <w:lang/>
        </w:rPr>
        <w:t>клопе</w:t>
      </w:r>
      <w:r w:rsidRPr="00EE6B74">
        <w:rPr>
          <w:rFonts w:cs="Arial"/>
        </w:rPr>
        <w:t xml:space="preserve"> унутар тих друштвених мрежа имају последице на здравље појединца.</w:t>
      </w:r>
      <w:proofErr w:type="gramEnd"/>
    </w:p>
    <w:p w:rsidR="00DB31C6" w:rsidRPr="00EE6B74" w:rsidRDefault="00DB31C6" w:rsidP="00DB31C6">
      <w:pPr>
        <w:spacing w:before="0"/>
        <w:ind w:firstLine="720"/>
        <w:rPr>
          <w:rFonts w:cs="Arial"/>
        </w:rPr>
      </w:pPr>
      <w:proofErr w:type="gramStart"/>
      <w:r w:rsidRPr="00EE6B74">
        <w:rPr>
          <w:rFonts w:cs="Arial"/>
        </w:rPr>
        <w:t>Пирамида јавног здравља, разликовањем и препознавањем важности, омогућавањем и пружањем услуга становништву, може се интегрисати са еколошким погледом на здравље и здравствене проблеме.</w:t>
      </w:r>
      <w:proofErr w:type="gramEnd"/>
      <w:r w:rsidRPr="00EE6B74">
        <w:rPr>
          <w:rFonts w:cs="Arial"/>
        </w:rPr>
        <w:t xml:space="preserve"> Ако се погледа пирамида одозго, нивои се појављују као концентрични квадрати (Фигура 2) - директне услуге за појединце који се уграђују у услуге које су омогућене за породице, агрегате и комшилук, а које су опет смештене у оквиру популационих услуга за све становнике градова, држава или земаља. Ово </w:t>
      </w:r>
      <w:proofErr w:type="gramStart"/>
      <w:r w:rsidRPr="00EE6B74">
        <w:rPr>
          <w:rFonts w:cs="Arial"/>
        </w:rPr>
        <w:t>је  слично</w:t>
      </w:r>
      <w:proofErr w:type="gramEnd"/>
      <w:r w:rsidRPr="00EE6B74">
        <w:rPr>
          <w:rFonts w:cs="Arial"/>
        </w:rPr>
        <w:t xml:space="preserve"> томе да се појединци смештају у окружењу које чини њихова породица, поставка радног места, или комшилук, које су све заједно интегрисане у факторе популационог окружења као што су друштвене норме и е</w:t>
      </w:r>
      <w:r w:rsidR="00CF3363">
        <w:rPr>
          <w:rFonts w:cs="Arial"/>
        </w:rPr>
        <w:t>кономско и политичко окружење</w:t>
      </w:r>
      <w:r w:rsidR="00CF3363">
        <w:rPr>
          <w:rFonts w:cs="Arial"/>
          <w:lang/>
        </w:rPr>
        <w:t xml:space="preserve">. </w:t>
      </w:r>
      <w:proofErr w:type="gramStart"/>
      <w:r w:rsidRPr="00EE6B74">
        <w:rPr>
          <w:rFonts w:cs="Arial"/>
        </w:rPr>
        <w:t>Инфраструктура здравственог система и јавног здравља је темељ и подршка окружењу за унапређење здравља и спречавање болести.</w:t>
      </w:r>
      <w:proofErr w:type="gramEnd"/>
    </w:p>
    <w:p w:rsidR="00183070" w:rsidRPr="00EE6B74" w:rsidRDefault="00183070" w:rsidP="00404497">
      <w:pPr>
        <w:pStyle w:val="Heading3"/>
      </w:pPr>
      <w:bookmarkStart w:id="20" w:name="_Toc8738406"/>
      <w:r w:rsidRPr="00EE6B74">
        <w:t>Здравствени програми, пројекти и услуге</w:t>
      </w:r>
      <w:bookmarkEnd w:id="18"/>
      <w:bookmarkEnd w:id="19"/>
      <w:bookmarkEnd w:id="20"/>
    </w:p>
    <w:p w:rsidR="00183070" w:rsidRPr="00EE6B74" w:rsidRDefault="00183070" w:rsidP="00183070">
      <w:pPr>
        <w:spacing w:before="0"/>
        <w:rPr>
          <w:rFonts w:cs="Arial"/>
        </w:rPr>
      </w:pPr>
      <w:proofErr w:type="gramStart"/>
      <w:r w:rsidRPr="00EE6B74">
        <w:rPr>
          <w:rFonts w:cs="Arial"/>
        </w:rPr>
        <w:t>Оно што разликује програм од про</w:t>
      </w:r>
      <w:r w:rsidR="00CF3363">
        <w:rPr>
          <w:rFonts w:cs="Arial"/>
        </w:rPr>
        <w:t xml:space="preserve">јекта или услуге може </w:t>
      </w:r>
      <w:r w:rsidR="00CF3363">
        <w:rPr>
          <w:rFonts w:cs="Arial"/>
          <w:lang/>
        </w:rPr>
        <w:t>се тешко</w:t>
      </w:r>
      <w:r w:rsidRPr="00EE6B74">
        <w:rPr>
          <w:rFonts w:cs="Arial"/>
        </w:rPr>
        <w:t xml:space="preserve"> објаснити, с обзиром на флуидност језика и термина.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Термин програм је прилично генералан, али генерално подразумева структурирани напор да се обезбеди одређени скуп услуга или интервенција.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Насупрот томе, пројекат се често односи на временски ограничен или експериментални напор да обезбеди одређени скуп услуга или интервенција кроз организациону структуру.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У апстрактном смислу, услугу је тешко дефинисати, али генерално укључује интеракцију између провајдера и клијента, неопип</w:t>
      </w:r>
      <w:r w:rsidR="00CF3363">
        <w:rPr>
          <w:rFonts w:cs="Arial"/>
        </w:rPr>
        <w:t>љив аспект онога што се пружа,</w:t>
      </w:r>
      <w:r w:rsidR="00CF3363">
        <w:rPr>
          <w:rFonts w:cs="Arial"/>
          <w:lang/>
        </w:rPr>
        <w:t xml:space="preserve"> </w:t>
      </w:r>
      <w:r w:rsidRPr="00EE6B74">
        <w:rPr>
          <w:rFonts w:cs="Arial"/>
        </w:rPr>
        <w:t>непостојана или пролазна природа за оно што се даје.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Користећи ову дефиницију лако се види да оно што се пружа у здравственом програму квалификује као услугу, иако то можда није здравствена служба.</w:t>
      </w:r>
      <w:proofErr w:type="gramEnd"/>
    </w:p>
    <w:p w:rsidR="00183070" w:rsidRPr="00EE6B74" w:rsidRDefault="00183070" w:rsidP="00183070">
      <w:pPr>
        <w:spacing w:before="0"/>
        <w:rPr>
          <w:rFonts w:cs="Arial"/>
        </w:rPr>
      </w:pPr>
      <w:r w:rsidRPr="00EE6B74">
        <w:rPr>
          <w:rFonts w:cs="Arial"/>
        </w:rPr>
        <w:tab/>
        <w:t xml:space="preserve">Здравствени програм је целина организоване структуре осмишљене </w:t>
      </w:r>
      <w:proofErr w:type="gramStart"/>
      <w:r w:rsidRPr="00EE6B74">
        <w:rPr>
          <w:rFonts w:cs="Arial"/>
        </w:rPr>
        <w:t>за  одредбу</w:t>
      </w:r>
      <w:proofErr w:type="gramEnd"/>
      <w:r w:rsidRPr="00EE6B74">
        <w:rPr>
          <w:rFonts w:cs="Arial"/>
        </w:rPr>
        <w:t xml:space="preserve"> прилично дискретне интервенције усмерене на здравље, где је та интервенција намењена за одређену циљну публику. </w:t>
      </w:r>
      <w:proofErr w:type="gramStart"/>
      <w:r w:rsidRPr="00EE6B74">
        <w:rPr>
          <w:rFonts w:cs="Arial"/>
        </w:rPr>
        <w:t>Поређења ради, здравствене услуге су организационе структуре преко којих пружаоци услуга комуницирају са клијентима или пацијентима како би задовољили потребе или решавање здравствених проблема клијената или пацијената.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Здравствени програми, посебно у јавном здравству, имају тенденцију да пружа</w:t>
      </w:r>
      <w:r w:rsidR="004D09A2">
        <w:rPr>
          <w:rFonts w:cs="Arial"/>
        </w:rPr>
        <w:t xml:space="preserve">ју образовне услуге, </w:t>
      </w:r>
      <w:r w:rsidR="004D09A2">
        <w:rPr>
          <w:rFonts w:cs="Arial"/>
          <w:lang/>
        </w:rPr>
        <w:t>усмерене су на</w:t>
      </w:r>
      <w:r w:rsidR="004D09A2">
        <w:rPr>
          <w:rFonts w:cs="Arial"/>
        </w:rPr>
        <w:t xml:space="preserve"> превенциј</w:t>
      </w:r>
      <w:r w:rsidR="004D09A2">
        <w:rPr>
          <w:rFonts w:cs="Arial"/>
          <w:lang/>
        </w:rPr>
        <w:t xml:space="preserve">у </w:t>
      </w:r>
      <w:r w:rsidRPr="00EE6B74">
        <w:rPr>
          <w:rFonts w:cs="Arial"/>
        </w:rPr>
        <w:t>и пружају услуге које нису на нивоу директних услуга пирамиде.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У супротности, здравствене услуге постоје искључиво на директном нивоу услуга јавног здравља</w:t>
      </w:r>
      <w:r w:rsidR="004D09A2">
        <w:rPr>
          <w:rFonts w:cs="Arial"/>
          <w:lang/>
        </w:rPr>
        <w:t xml:space="preserve"> </w:t>
      </w:r>
      <w:r w:rsidRPr="00EE6B74">
        <w:rPr>
          <w:rFonts w:cs="Arial"/>
        </w:rPr>
        <w:t>пирамида.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Препознавање разлике између здравствених програма и здравствених услуга је важно за разумевање одговарајућих јединствених потреба планирања и евалуације сваког.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Приступ који се користи у овом тексту разматра те јединствене разлике перспективе пирамиде јавног здравља.</w:t>
      </w:r>
      <w:proofErr w:type="gramEnd"/>
    </w:p>
    <w:p w:rsidR="00183070" w:rsidRPr="00EE6B74" w:rsidRDefault="00183070" w:rsidP="00183070">
      <w:pPr>
        <w:spacing w:before="0"/>
        <w:rPr>
          <w:rFonts w:cs="Arial"/>
        </w:rPr>
      </w:pPr>
    </w:p>
    <w:p w:rsidR="00183070" w:rsidRPr="00404497" w:rsidRDefault="00183070" w:rsidP="00404497">
      <w:pPr>
        <w:pStyle w:val="Heading2"/>
      </w:pPr>
      <w:bookmarkStart w:id="21" w:name="_Toc535961287"/>
      <w:bookmarkStart w:id="22" w:name="_Toc4073260"/>
      <w:bookmarkStart w:id="23" w:name="_Toc8738407"/>
      <w:r w:rsidRPr="00404497">
        <w:t>Кроз пирамиду</w:t>
      </w:r>
      <w:bookmarkEnd w:id="21"/>
      <w:bookmarkEnd w:id="22"/>
      <w:bookmarkEnd w:id="23"/>
    </w:p>
    <w:p w:rsidR="00183070" w:rsidRPr="00EE6B74" w:rsidRDefault="00183070" w:rsidP="00404497">
      <w:pPr>
        <w:rPr>
          <w:rFonts w:cs="Arial"/>
        </w:rPr>
      </w:pPr>
      <w:proofErr w:type="gramStart"/>
      <w:r w:rsidRPr="00EE6B74">
        <w:rPr>
          <w:rFonts w:cs="Arial"/>
        </w:rPr>
        <w:t>На директном нивоу услуга, планирање и евалуације здравствених програма се фокусирају на појединца, клијента или пацијента - то јест, на развијање програма који се пружају појединацу и на процену у којој мери ти програми чине разлику у здрављу појединаца који примају здравствени програм.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Здравље је дефинисано као индивидуални термин и ефекти програма се мере као појединачне промене.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Од овог нивоа пирамиде јавног здравља, заједница се највероватније посматра као контекст који утиче на здравље појединца.</w:t>
      </w:r>
      <w:proofErr w:type="gramEnd"/>
    </w:p>
    <w:p w:rsidR="00183070" w:rsidRPr="00EE6B74" w:rsidRDefault="00183070" w:rsidP="00183070">
      <w:pPr>
        <w:spacing w:before="0"/>
        <w:ind w:firstLine="720"/>
        <w:rPr>
          <w:rFonts w:cs="Arial"/>
        </w:rPr>
      </w:pPr>
      <w:proofErr w:type="gramStart"/>
      <w:r w:rsidRPr="00EE6B74">
        <w:rPr>
          <w:rFonts w:cs="Arial"/>
        </w:rPr>
        <w:t>На нивоу пружања услуга, планирање и евалуација здравствених програма се фокусира на потребе агрегата појединаца и услуга које су по</w:t>
      </w:r>
      <w:r w:rsidR="004D09A2">
        <w:rPr>
          <w:rFonts w:cs="Arial"/>
        </w:rPr>
        <w:t>требне агрегатима ради одржавањ</w:t>
      </w:r>
      <w:r w:rsidR="004D09A2">
        <w:rPr>
          <w:rFonts w:cs="Arial"/>
          <w:lang/>
        </w:rPr>
        <w:t>а</w:t>
      </w:r>
      <w:r w:rsidR="004D09A2">
        <w:rPr>
          <w:rFonts w:cs="Arial"/>
        </w:rPr>
        <w:t xml:space="preserve"> здравља или побољшањ</w:t>
      </w:r>
      <w:r w:rsidR="004D09A2">
        <w:rPr>
          <w:rFonts w:cs="Arial"/>
          <w:lang/>
        </w:rPr>
        <w:t>а</w:t>
      </w:r>
      <w:r w:rsidRPr="00EE6B74">
        <w:rPr>
          <w:rFonts w:cs="Arial"/>
        </w:rPr>
        <w:t xml:space="preserve"> здравља.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Услуге омогућавања су често друштвене, образовне, или људске услуге које имају индиректан утицај на здравље, што оправдава њихово укључивање у планирање здравствених програма.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Здравље се и даље дефинише и мери као индивидуална карактеристика у мери у којој се пружају услуге појединим члановима агрегата.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Међутим, планирање и евалуација програма не фокусира се на појединце, већ на агрегат као јединицу.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 xml:space="preserve">На овом нивоу пирамиде, заједница може бити или агрегат који је намењен за здравствени </w:t>
      </w:r>
      <w:r w:rsidRPr="00EE6B74">
        <w:rPr>
          <w:rFonts w:cs="Arial"/>
        </w:rPr>
        <w:lastRenderedPageBreak/>
        <w:t>програм или контекст у којем агрегат функционише и живи.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Како ће се гледати заједница, зависиће од здравственог проблема који се решава.</w:t>
      </w:r>
      <w:proofErr w:type="gramEnd"/>
    </w:p>
    <w:p w:rsidR="00183070" w:rsidRPr="00EE6B74" w:rsidRDefault="00183070" w:rsidP="00183070">
      <w:pPr>
        <w:spacing w:before="0"/>
        <w:ind w:firstLine="720"/>
        <w:rPr>
          <w:rFonts w:cs="Arial"/>
        </w:rPr>
      </w:pPr>
      <w:proofErr w:type="gramStart"/>
      <w:r w:rsidRPr="00EE6B74">
        <w:rPr>
          <w:rFonts w:cs="Arial"/>
        </w:rPr>
        <w:t>На нивоу услуга заснованих на популацији, планирање и евалуација здравствених програма фокусира се на потребе свих чланова популације.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На овом нивоу пирамиде, здравствени програми су на минималном броју становника, што значи да су подаци прикупљени у односу на здравље становништва што покреће одлуке о здравственом програму.</w:t>
      </w:r>
      <w:proofErr w:type="gramEnd"/>
      <w:r w:rsidRPr="00EE6B74">
        <w:rPr>
          <w:rFonts w:cs="Arial"/>
        </w:rPr>
        <w:t xml:space="preserve"> Овај приступ</w:t>
      </w:r>
    </w:p>
    <w:p w:rsidR="00183070" w:rsidRPr="00EE6B74" w:rsidRDefault="00183070" w:rsidP="00183070">
      <w:pPr>
        <w:spacing w:before="0"/>
        <w:rPr>
          <w:rFonts w:cs="Arial"/>
        </w:rPr>
      </w:pPr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резултира</w:t>
      </w:r>
      <w:proofErr w:type="gramEnd"/>
      <w:r w:rsidRPr="00EE6B74">
        <w:rPr>
          <w:rFonts w:cs="Arial"/>
        </w:rPr>
        <w:t xml:space="preserve"> у програмима који</w:t>
      </w:r>
      <w:r w:rsidR="004D09A2">
        <w:rPr>
          <w:rFonts w:cs="Arial"/>
        </w:rPr>
        <w:t xml:space="preserve"> су фокусирани на популацију и</w:t>
      </w:r>
      <w:r w:rsidR="004D09A2">
        <w:rPr>
          <w:rFonts w:cs="Arial"/>
          <w:lang/>
        </w:rPr>
        <w:t xml:space="preserve"> </w:t>
      </w:r>
      <w:r w:rsidRPr="00EE6B74">
        <w:rPr>
          <w:rFonts w:cs="Arial"/>
        </w:rPr>
        <w:t xml:space="preserve">идеално (али не и нужно) базирани на популацији. </w:t>
      </w:r>
      <w:proofErr w:type="gramStart"/>
      <w:r w:rsidRPr="00EE6B74">
        <w:rPr>
          <w:rFonts w:cs="Arial"/>
        </w:rPr>
        <w:t xml:space="preserve">Вреди напоменути да програми усмерени на становништво имају тенденцију да имају промоцију здравља или фокус на одржавање </w:t>
      </w:r>
      <w:r w:rsidR="004D09A2">
        <w:rPr>
          <w:rFonts w:cs="Arial"/>
        </w:rPr>
        <w:t xml:space="preserve">здравља, радије него на фокус </w:t>
      </w:r>
      <w:r w:rsidR="004D09A2">
        <w:rPr>
          <w:rFonts w:cs="Arial"/>
          <w:lang/>
        </w:rPr>
        <w:t>ка</w:t>
      </w:r>
      <w:r w:rsidR="004D09A2">
        <w:rPr>
          <w:rFonts w:cs="Arial"/>
        </w:rPr>
        <w:t xml:space="preserve"> лечењ</w:t>
      </w:r>
      <w:r w:rsidR="004D09A2">
        <w:rPr>
          <w:rFonts w:cs="Arial"/>
          <w:lang/>
        </w:rPr>
        <w:t>у</w:t>
      </w:r>
      <w:r w:rsidRPr="00EE6B74">
        <w:rPr>
          <w:rFonts w:cs="Arial"/>
        </w:rPr>
        <w:t xml:space="preserve"> болести.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На нивоу популације, здравље је дефинисано у смислу статистике становништва, као стопа морталитета и морбидитета.</w:t>
      </w:r>
      <w:proofErr w:type="gramEnd"/>
      <w:r w:rsidRPr="00EE6B74">
        <w:rPr>
          <w:rFonts w:cs="Arial"/>
        </w:rPr>
        <w:t xml:space="preserve"> У том смислу, циљеви „Здрави људи 2020</w:t>
      </w:r>
      <w:proofErr w:type="gramStart"/>
      <w:r w:rsidRPr="00EE6B74">
        <w:rPr>
          <w:rFonts w:cs="Arial"/>
        </w:rPr>
        <w:t>“ (</w:t>
      </w:r>
      <w:proofErr w:type="gramEnd"/>
      <w:r w:rsidRPr="00EE6B74">
        <w:rPr>
          <w:rFonts w:cs="Arial"/>
        </w:rPr>
        <w:t>Табела 2) су претежно на нивоу популације пирамиде јавног здравља.</w:t>
      </w:r>
    </w:p>
    <w:p w:rsidR="00183070" w:rsidRPr="00EE6B74" w:rsidRDefault="00183070" w:rsidP="00AE67E1">
      <w:pPr>
        <w:spacing w:after="120"/>
        <w:rPr>
          <w:rFonts w:cs="Arial"/>
          <w:b/>
        </w:rPr>
      </w:pPr>
      <w:proofErr w:type="gramStart"/>
      <w:r w:rsidRPr="00EE6B74">
        <w:rPr>
          <w:rFonts w:cs="Arial"/>
          <w:b/>
        </w:rPr>
        <w:t>Табела 2.</w:t>
      </w:r>
      <w:proofErr w:type="gramEnd"/>
      <w:r w:rsidRPr="00EE6B74">
        <w:rPr>
          <w:rFonts w:cs="Arial"/>
          <w:b/>
        </w:rPr>
        <w:t xml:space="preserve"> Резиме приоритета „Здравих људи</w:t>
      </w:r>
      <w:proofErr w:type="gramStart"/>
      <w:r w:rsidRPr="00EE6B74">
        <w:rPr>
          <w:rFonts w:cs="Arial"/>
          <w:b/>
        </w:rPr>
        <w:t>“ за</w:t>
      </w:r>
      <w:proofErr w:type="gramEnd"/>
      <w:r w:rsidRPr="00EE6B74">
        <w:rPr>
          <w:rFonts w:cs="Arial"/>
          <w:b/>
        </w:rPr>
        <w:t xml:space="preserve"> 2020.</w:t>
      </w:r>
      <w:r w:rsidR="000F3944">
        <w:rPr>
          <w:rFonts w:cs="Arial"/>
          <w:b/>
        </w:rPr>
        <w:t xml:space="preserve"> </w:t>
      </w:r>
      <w:proofErr w:type="gramStart"/>
      <w:r w:rsidRPr="00EE6B74">
        <w:rPr>
          <w:rFonts w:cs="Arial"/>
          <w:b/>
        </w:rPr>
        <w:t>годину</w:t>
      </w:r>
      <w:proofErr w:type="gramEnd"/>
    </w:p>
    <w:tbl>
      <w:tblPr>
        <w:tblStyle w:val="TableList1"/>
        <w:tblW w:w="0" w:type="auto"/>
        <w:tblLook w:val="04A0"/>
      </w:tblPr>
      <w:tblGrid>
        <w:gridCol w:w="4643"/>
        <w:gridCol w:w="4644"/>
      </w:tblGrid>
      <w:tr w:rsidR="00183070" w:rsidRPr="00EE6B74" w:rsidTr="005F41EB">
        <w:trPr>
          <w:cnfStyle w:val="100000000000"/>
        </w:trPr>
        <w:tc>
          <w:tcPr>
            <w:tcW w:w="4643" w:type="dxa"/>
          </w:tcPr>
          <w:p w:rsidR="00183070" w:rsidRPr="00DA09C4" w:rsidRDefault="00183070" w:rsidP="005F41EB">
            <w:pPr>
              <w:rPr>
                <w:rFonts w:cs="Arial"/>
                <w:b w:val="0"/>
                <w:i w:val="0"/>
                <w:lang/>
              </w:rPr>
            </w:pPr>
          </w:p>
        </w:tc>
        <w:tc>
          <w:tcPr>
            <w:tcW w:w="4644" w:type="dxa"/>
          </w:tcPr>
          <w:p w:rsidR="00183070" w:rsidRPr="00EE6B74" w:rsidRDefault="00183070" w:rsidP="005F41EB">
            <w:pPr>
              <w:rPr>
                <w:rFonts w:cs="Arial"/>
              </w:rPr>
            </w:pPr>
          </w:p>
        </w:tc>
      </w:tr>
      <w:tr w:rsidR="00183070" w:rsidRPr="00EE6B74" w:rsidTr="005F41EB">
        <w:trPr>
          <w:cnfStyle w:val="000000100000"/>
        </w:trPr>
        <w:tc>
          <w:tcPr>
            <w:tcW w:w="4643" w:type="dxa"/>
          </w:tcPr>
          <w:p w:rsidR="00183070" w:rsidRPr="00EE6B74" w:rsidRDefault="0053497C" w:rsidP="00DA09C4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1.</w:t>
            </w:r>
            <w:r w:rsidR="00183070" w:rsidRPr="00EE6B74">
              <w:rPr>
                <w:rFonts w:cs="Arial"/>
              </w:rPr>
              <w:t xml:space="preserve">Приступ квалитетним здравственим услугама </w:t>
            </w:r>
          </w:p>
          <w:p w:rsidR="00183070" w:rsidRPr="00EE6B74" w:rsidRDefault="00183070" w:rsidP="005F41EB">
            <w:pPr>
              <w:rPr>
                <w:rFonts w:cs="Arial"/>
              </w:rPr>
            </w:pPr>
            <w:r w:rsidRPr="00EE6B74">
              <w:rPr>
                <w:rFonts w:cs="Arial"/>
              </w:rPr>
              <w:t>2. Поремећаји здравља адолесцената</w:t>
            </w:r>
          </w:p>
          <w:p w:rsidR="00183070" w:rsidRPr="00EE6B74" w:rsidRDefault="00183070" w:rsidP="005F41EB">
            <w:pPr>
              <w:rPr>
                <w:rFonts w:cs="Arial"/>
              </w:rPr>
            </w:pPr>
            <w:r w:rsidRPr="00EE6B74">
              <w:rPr>
                <w:rFonts w:cs="Arial"/>
              </w:rPr>
              <w:t>3. Артритис, остеопороза и хронично</w:t>
            </w:r>
          </w:p>
          <w:p w:rsidR="00183070" w:rsidRPr="00EE6B74" w:rsidRDefault="00DA09C4" w:rsidP="005F41EB">
            <w:pPr>
              <w:rPr>
                <w:rFonts w:cs="Arial"/>
              </w:rPr>
            </w:pPr>
            <w:r>
              <w:rPr>
                <w:rFonts w:cs="Arial"/>
                <w:lang/>
              </w:rPr>
              <w:t>п</w:t>
            </w:r>
            <w:r w:rsidR="00183070" w:rsidRPr="00EE6B74">
              <w:rPr>
                <w:rFonts w:cs="Arial"/>
              </w:rPr>
              <w:t>овратна стања</w:t>
            </w:r>
          </w:p>
          <w:p w:rsidR="00183070" w:rsidRPr="00EE6B74" w:rsidRDefault="00183070" w:rsidP="005F41EB">
            <w:pPr>
              <w:rPr>
                <w:rFonts w:cs="Arial"/>
              </w:rPr>
            </w:pPr>
            <w:r w:rsidRPr="00EE6B74">
              <w:rPr>
                <w:rFonts w:cs="Arial"/>
              </w:rPr>
              <w:t xml:space="preserve">4. Поремећаји крви и безбедност крви </w:t>
            </w:r>
          </w:p>
          <w:p w:rsidR="00183070" w:rsidRPr="00EE6B74" w:rsidRDefault="00183070" w:rsidP="005F41EB">
            <w:pPr>
              <w:rPr>
                <w:rFonts w:cs="Arial"/>
              </w:rPr>
            </w:pPr>
            <w:r w:rsidRPr="00EE6B74">
              <w:rPr>
                <w:rFonts w:cs="Arial"/>
              </w:rPr>
              <w:t>5. Рак</w:t>
            </w:r>
          </w:p>
          <w:p w:rsidR="00183070" w:rsidRPr="00EE6B74" w:rsidRDefault="00183070" w:rsidP="005F41EB">
            <w:pPr>
              <w:rPr>
                <w:rFonts w:cs="Arial"/>
              </w:rPr>
            </w:pPr>
            <w:r w:rsidRPr="00EE6B74">
              <w:rPr>
                <w:rFonts w:cs="Arial"/>
              </w:rPr>
              <w:t xml:space="preserve">6. Хронична болест бубрега </w:t>
            </w:r>
          </w:p>
          <w:p w:rsidR="00183070" w:rsidRPr="00EE6B74" w:rsidRDefault="00183070" w:rsidP="005F41EB">
            <w:pPr>
              <w:rPr>
                <w:rFonts w:cs="Arial"/>
              </w:rPr>
            </w:pPr>
            <w:r w:rsidRPr="00EE6B74">
              <w:rPr>
                <w:rFonts w:cs="Arial"/>
              </w:rPr>
              <w:t>7. Деменције, укључујући Алцхајмерову болест</w:t>
            </w:r>
          </w:p>
          <w:p w:rsidR="00183070" w:rsidRPr="00EE6B74" w:rsidRDefault="00183070" w:rsidP="005F41EB">
            <w:pPr>
              <w:rPr>
                <w:rFonts w:cs="Arial"/>
              </w:rPr>
            </w:pPr>
            <w:r w:rsidRPr="00EE6B74">
              <w:rPr>
                <w:rFonts w:cs="Arial"/>
              </w:rPr>
              <w:t xml:space="preserve">8. Дијабетес </w:t>
            </w:r>
          </w:p>
          <w:p w:rsidR="0053497C" w:rsidRDefault="00183070" w:rsidP="005F41EB">
            <w:pPr>
              <w:rPr>
                <w:rFonts w:cs="Arial"/>
                <w:lang/>
              </w:rPr>
            </w:pPr>
            <w:r w:rsidRPr="00EE6B74">
              <w:rPr>
                <w:rFonts w:cs="Arial"/>
              </w:rPr>
              <w:t xml:space="preserve">9. </w:t>
            </w:r>
            <w:r w:rsidR="00DA09C4">
              <w:rPr>
                <w:rFonts w:cs="Arial"/>
              </w:rPr>
              <w:t>Инвалидитет и секундарн</w:t>
            </w:r>
            <w:r w:rsidR="00DA09C4">
              <w:rPr>
                <w:rFonts w:cs="Arial"/>
                <w:lang/>
              </w:rPr>
              <w:t>а стања</w:t>
            </w:r>
            <w:r w:rsidRPr="00EE6B74">
              <w:rPr>
                <w:rFonts w:cs="Arial"/>
              </w:rPr>
              <w:t xml:space="preserve"> </w:t>
            </w:r>
          </w:p>
          <w:p w:rsidR="00183070" w:rsidRPr="0053497C" w:rsidRDefault="00183070" w:rsidP="005F41EB">
            <w:pPr>
              <w:rPr>
                <w:rFonts w:cs="Arial"/>
                <w:lang/>
              </w:rPr>
            </w:pPr>
            <w:r w:rsidRPr="00EE6B74">
              <w:rPr>
                <w:rFonts w:cs="Arial"/>
              </w:rPr>
              <w:t xml:space="preserve">10. Рано и средње детињство </w:t>
            </w:r>
          </w:p>
          <w:p w:rsidR="00183070" w:rsidRPr="00EE6B74" w:rsidRDefault="00183070" w:rsidP="00DA09C4">
            <w:pPr>
              <w:jc w:val="left"/>
              <w:rPr>
                <w:rFonts w:cs="Arial"/>
              </w:rPr>
            </w:pPr>
            <w:r w:rsidRPr="00EE6B74">
              <w:rPr>
                <w:rFonts w:cs="Arial"/>
              </w:rPr>
              <w:t>11. Образовни и на заједници базирани</w:t>
            </w:r>
          </w:p>
          <w:p w:rsidR="00183070" w:rsidRPr="00EE6B74" w:rsidRDefault="00183070" w:rsidP="00DA09C4">
            <w:pPr>
              <w:jc w:val="left"/>
              <w:rPr>
                <w:rFonts w:cs="Arial"/>
              </w:rPr>
            </w:pPr>
            <w:r w:rsidRPr="00EE6B74">
              <w:rPr>
                <w:rFonts w:cs="Arial"/>
              </w:rPr>
              <w:t>програми</w:t>
            </w:r>
          </w:p>
          <w:p w:rsidR="00183070" w:rsidRPr="00EE6B74" w:rsidRDefault="00183070" w:rsidP="005F41EB">
            <w:pPr>
              <w:rPr>
                <w:rFonts w:cs="Arial"/>
              </w:rPr>
            </w:pPr>
            <w:r w:rsidRPr="00EE6B74">
              <w:rPr>
                <w:rFonts w:cs="Arial"/>
              </w:rPr>
              <w:t xml:space="preserve">12. Здравље окружења </w:t>
            </w:r>
          </w:p>
          <w:p w:rsidR="00183070" w:rsidRPr="00EE6B74" w:rsidRDefault="00183070" w:rsidP="005F41EB">
            <w:pPr>
              <w:rPr>
                <w:rFonts w:cs="Arial"/>
              </w:rPr>
            </w:pPr>
            <w:r w:rsidRPr="00EE6B74">
              <w:rPr>
                <w:rFonts w:cs="Arial"/>
              </w:rPr>
              <w:t xml:space="preserve">13. Планирање породице </w:t>
            </w:r>
          </w:p>
          <w:p w:rsidR="00183070" w:rsidRPr="00EE6B74" w:rsidRDefault="00183070" w:rsidP="005F41EB">
            <w:pPr>
              <w:rPr>
                <w:rFonts w:cs="Arial"/>
              </w:rPr>
            </w:pPr>
            <w:r w:rsidRPr="00EE6B74">
              <w:rPr>
                <w:rFonts w:cs="Arial"/>
              </w:rPr>
              <w:t xml:space="preserve">14. Сигурност хране </w:t>
            </w:r>
          </w:p>
          <w:p w:rsidR="00183070" w:rsidRPr="00EE6B74" w:rsidRDefault="00183070" w:rsidP="005F41EB">
            <w:pPr>
              <w:rPr>
                <w:rFonts w:cs="Arial"/>
              </w:rPr>
            </w:pPr>
            <w:r w:rsidRPr="00EE6B74">
              <w:rPr>
                <w:rFonts w:cs="Arial"/>
              </w:rPr>
              <w:t xml:space="preserve">15. Геномика </w:t>
            </w:r>
          </w:p>
          <w:p w:rsidR="00183070" w:rsidRPr="00EE6B74" w:rsidRDefault="00183070" w:rsidP="005F41EB">
            <w:pPr>
              <w:rPr>
                <w:rFonts w:cs="Arial"/>
              </w:rPr>
            </w:pPr>
            <w:r w:rsidRPr="00EE6B74">
              <w:rPr>
                <w:rFonts w:cs="Arial"/>
              </w:rPr>
              <w:t xml:space="preserve">16. Глобално здравље </w:t>
            </w:r>
          </w:p>
          <w:p w:rsidR="00183070" w:rsidRPr="00EE6B74" w:rsidRDefault="00183070" w:rsidP="005F41EB">
            <w:pPr>
              <w:rPr>
                <w:rFonts w:cs="Arial"/>
              </w:rPr>
            </w:pPr>
            <w:r w:rsidRPr="00EE6B74">
              <w:rPr>
                <w:rFonts w:cs="Arial"/>
              </w:rPr>
              <w:t>17.Здравствена комуникација и здравствене информационе технологије</w:t>
            </w:r>
          </w:p>
          <w:p w:rsidR="00183070" w:rsidRPr="00EE6B74" w:rsidRDefault="00183070" w:rsidP="00DA09C4">
            <w:pPr>
              <w:jc w:val="left"/>
              <w:rPr>
                <w:rFonts w:cs="Arial"/>
              </w:rPr>
            </w:pPr>
            <w:r w:rsidRPr="00EE6B74">
              <w:rPr>
                <w:rFonts w:cs="Arial"/>
              </w:rPr>
              <w:t xml:space="preserve">18. Инфекције повезане са здравственом заштитом </w:t>
            </w:r>
          </w:p>
          <w:p w:rsidR="00183070" w:rsidRPr="00EE6B74" w:rsidRDefault="00183070" w:rsidP="005F41EB">
            <w:pPr>
              <w:rPr>
                <w:rFonts w:cs="Arial"/>
              </w:rPr>
            </w:pPr>
            <w:r w:rsidRPr="00EE6B74">
              <w:rPr>
                <w:rFonts w:cs="Arial"/>
              </w:rPr>
              <w:t xml:space="preserve">19. Квалитет живота везан за здравље </w:t>
            </w:r>
          </w:p>
        </w:tc>
        <w:tc>
          <w:tcPr>
            <w:tcW w:w="4644" w:type="dxa"/>
          </w:tcPr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20. Слух и други сензорни или комуникацијски поремећаји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21. Болест срца и мождани удар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22. ХИВ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23. Имунизација и инфективне болести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24. Превенција повреда и насиља</w:t>
            </w:r>
          </w:p>
          <w:p w:rsidR="00183070" w:rsidRPr="00AE67E1" w:rsidRDefault="004D09A2" w:rsidP="00DA09C4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25.</w:t>
            </w:r>
            <w:r w:rsidR="00DA09C4">
              <w:rPr>
                <w:rFonts w:cs="Arial"/>
                <w:lang/>
              </w:rPr>
              <w:t xml:space="preserve"> </w:t>
            </w:r>
            <w:r>
              <w:rPr>
                <w:rFonts w:cs="Arial"/>
              </w:rPr>
              <w:t>Здравље</w:t>
            </w:r>
            <w:r>
              <w:rPr>
                <w:rFonts w:cs="Arial"/>
                <w:lang/>
              </w:rPr>
              <w:t xml:space="preserve"> </w:t>
            </w:r>
            <w:r>
              <w:rPr>
                <w:rFonts w:cs="Arial"/>
              </w:rPr>
              <w:t>лезбејки,</w:t>
            </w:r>
            <w:r>
              <w:rPr>
                <w:rFonts w:cs="Arial"/>
                <w:lang/>
              </w:rPr>
              <w:t xml:space="preserve"> </w:t>
            </w:r>
            <w:r w:rsidR="00183070" w:rsidRPr="00AE67E1">
              <w:rPr>
                <w:rFonts w:cs="Arial"/>
              </w:rPr>
              <w:t>хомосексуалаца, бисексуалаца и трансродних особа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26. Здравље мајке, бебе и детета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27. Безбедност медицинских производа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28. Ментално здравље и ментални поремећаји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29. Стање исхране и тежине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30. Безбедност и здравље на раду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31. Старије одрасле особе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32. Орално здравље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33. Физичка активност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34. Спремност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35. Јавна здравствена инфраструктура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36. Респираторне болести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37. Полно преносиве болести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38. Здраво спавање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39. Друштвене детерминанте здравља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40. Злоупотреба супстанци</w:t>
            </w:r>
          </w:p>
          <w:p w:rsidR="00183070" w:rsidRPr="00AE67E1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41. Употреба дувана</w:t>
            </w:r>
          </w:p>
          <w:p w:rsidR="00183070" w:rsidRPr="00EE6B74" w:rsidRDefault="00183070" w:rsidP="005F41EB">
            <w:pPr>
              <w:rPr>
                <w:rFonts w:cs="Arial"/>
              </w:rPr>
            </w:pPr>
            <w:r w:rsidRPr="00AE67E1">
              <w:rPr>
                <w:rFonts w:cs="Arial"/>
              </w:rPr>
              <w:t>42. Визија</w:t>
            </w:r>
          </w:p>
        </w:tc>
      </w:tr>
    </w:tbl>
    <w:p w:rsidR="00183070" w:rsidRPr="00EE6B74" w:rsidRDefault="00183070" w:rsidP="00183070">
      <w:pPr>
        <w:rPr>
          <w:rFonts w:cs="Arial"/>
        </w:rPr>
      </w:pPr>
      <w:r w:rsidRPr="00F63D4C">
        <w:rPr>
          <w:rFonts w:cs="Arial"/>
          <w:b/>
          <w:i/>
        </w:rPr>
        <w:t>Извор</w:t>
      </w:r>
      <w:r w:rsidRPr="00EE6B74">
        <w:rPr>
          <w:rFonts w:cs="Arial"/>
        </w:rPr>
        <w:t xml:space="preserve">: Министарство за здравство и људске услуге. </w:t>
      </w:r>
      <w:proofErr w:type="gramStart"/>
      <w:r w:rsidRPr="00EE6B74">
        <w:rPr>
          <w:rFonts w:cs="Arial"/>
        </w:rPr>
        <w:t>Преузето 11.</w:t>
      </w:r>
      <w:proofErr w:type="gramEnd"/>
      <w:r w:rsidRPr="00EE6B74">
        <w:rPr>
          <w:rFonts w:cs="Arial"/>
        </w:rPr>
        <w:t xml:space="preserve"> </w:t>
      </w:r>
      <w:proofErr w:type="gramStart"/>
      <w:r w:rsidRPr="00EE6B74">
        <w:rPr>
          <w:rFonts w:cs="Arial"/>
        </w:rPr>
        <w:t>септембра</w:t>
      </w:r>
      <w:proofErr w:type="gramEnd"/>
      <w:r w:rsidRPr="00EE6B74">
        <w:rPr>
          <w:rFonts w:cs="Arial"/>
        </w:rPr>
        <w:t xml:space="preserve"> 2012. </w:t>
      </w:r>
      <w:proofErr w:type="gramStart"/>
      <w:r w:rsidRPr="00EE6B74">
        <w:rPr>
          <w:rFonts w:cs="Arial"/>
        </w:rPr>
        <w:t xml:space="preserve">Са  </w:t>
      </w:r>
      <w:proofErr w:type="gramEnd"/>
      <w:r w:rsidR="00BA4AA2">
        <w:fldChar w:fldCharType="begin"/>
      </w:r>
      <w:r w:rsidR="007F3596">
        <w:instrText>HYPERLINK "http://www.cdc.gov/nchs/healthy_people/hp2020/hp2020_topic_areas.htm"</w:instrText>
      </w:r>
      <w:r w:rsidR="00BA4AA2">
        <w:fldChar w:fldCharType="separate"/>
      </w:r>
      <w:r w:rsidRPr="00EE6B74">
        <w:rPr>
          <w:rStyle w:val="Hyperlink"/>
        </w:rPr>
        <w:t>www.cdc.gov/nchs/healthy_people/hp2020/hp2020_topic_areas.htm</w:t>
      </w:r>
      <w:r w:rsidR="00BA4AA2">
        <w:fldChar w:fldCharType="end"/>
      </w:r>
      <w:r w:rsidRPr="00EE6B74">
        <w:rPr>
          <w:rFonts w:cs="Arial"/>
        </w:rPr>
        <w:t xml:space="preserve">. </w:t>
      </w:r>
    </w:p>
    <w:p w:rsidR="00183070" w:rsidRPr="00EE6B74" w:rsidRDefault="00183070" w:rsidP="00183070">
      <w:pPr>
        <w:spacing w:before="0"/>
        <w:jc w:val="left"/>
        <w:rPr>
          <w:rFonts w:cs="Arial"/>
        </w:rPr>
      </w:pPr>
      <w:r w:rsidRPr="00EE6B74">
        <w:rPr>
          <w:rFonts w:cs="Arial"/>
        </w:rPr>
        <w:br w:type="page"/>
      </w:r>
    </w:p>
    <w:p w:rsidR="00183070" w:rsidRPr="00A57D07" w:rsidRDefault="00183070" w:rsidP="00A57D07">
      <w:pPr>
        <w:spacing w:before="0"/>
        <w:rPr>
          <w:rFonts w:cs="Arial"/>
        </w:rPr>
      </w:pPr>
      <w:r w:rsidRPr="00EE6B74">
        <w:rPr>
          <w:rFonts w:cs="Arial"/>
        </w:rPr>
        <w:lastRenderedPageBreak/>
        <w:tab/>
        <w:t xml:space="preserve"> </w:t>
      </w:r>
      <w:proofErr w:type="gramStart"/>
      <w:r w:rsidR="00532C76" w:rsidRPr="00EE6B74">
        <w:rPr>
          <w:rFonts w:cs="Arial"/>
        </w:rPr>
        <w:t>На нивоу инфраструктуре, планирање и евалуације здравствених програма су инфраструктурне активности јавног здравства и здравственог система.</w:t>
      </w:r>
      <w:proofErr w:type="gramEnd"/>
      <w:r w:rsidR="00532C76" w:rsidRPr="00EE6B74">
        <w:rPr>
          <w:rFonts w:cs="Arial"/>
        </w:rPr>
        <w:t xml:space="preserve"> </w:t>
      </w:r>
      <w:proofErr w:type="gramStart"/>
      <w:r w:rsidR="00532C76" w:rsidRPr="00EE6B74">
        <w:rPr>
          <w:rFonts w:cs="Arial"/>
        </w:rPr>
        <w:t>Инфраструктура укључује организационо управљање, набавку ресурса, и развој здравствене политике.</w:t>
      </w:r>
      <w:proofErr w:type="gramEnd"/>
      <w:r w:rsidR="00532C76" w:rsidRPr="00EE6B74">
        <w:rPr>
          <w:rFonts w:cs="Arial"/>
        </w:rPr>
        <w:t xml:space="preserve"> Значајан документ који одражава здравствену политику је „Здрави људи 2020</w:t>
      </w:r>
      <w:proofErr w:type="gramStart"/>
      <w:r w:rsidR="00532C76" w:rsidRPr="00EE6B74">
        <w:rPr>
          <w:rFonts w:cs="Arial"/>
        </w:rPr>
        <w:t>.“</w:t>
      </w:r>
      <w:proofErr w:type="gramEnd"/>
      <w:r w:rsidR="00532C76" w:rsidRPr="00EE6B74">
        <w:rPr>
          <w:rFonts w:cs="Arial"/>
        </w:rPr>
        <w:t xml:space="preserve">, који оцртава циљеве за здравље људи САД-а. </w:t>
      </w:r>
      <w:proofErr w:type="gramStart"/>
      <w:r w:rsidR="00532C76" w:rsidRPr="00EE6B74">
        <w:rPr>
          <w:rFonts w:cs="Arial"/>
        </w:rPr>
        <w:t>Ови национални циљеви се разматрају приликом одређивања приоритета и користе их многе федералне и невладине агенције за финансирање, које често захтевају да здравствени програм утврди који су циљеви „Здравих људи 2020.</w:t>
      </w:r>
      <w:proofErr w:type="gramEnd"/>
      <w:r w:rsidR="00532C76" w:rsidRPr="00EE6B74">
        <w:rPr>
          <w:rFonts w:cs="Arial"/>
        </w:rPr>
        <w:t xml:space="preserve"> </w:t>
      </w:r>
      <w:proofErr w:type="gramStart"/>
      <w:r w:rsidR="00532C76" w:rsidRPr="00EE6B74">
        <w:rPr>
          <w:rFonts w:cs="Arial"/>
        </w:rPr>
        <w:t>године</w:t>
      </w:r>
      <w:proofErr w:type="gramEnd"/>
      <w:r w:rsidR="00532C76" w:rsidRPr="00EE6B74">
        <w:rPr>
          <w:rFonts w:cs="Arial"/>
        </w:rPr>
        <w:t xml:space="preserve">“. У мери у којој су планери и евалуатори здравствене заштите упознати са </w:t>
      </w:r>
      <w:proofErr w:type="gramStart"/>
      <w:r w:rsidR="00532C76" w:rsidRPr="00EE6B74">
        <w:rPr>
          <w:rFonts w:cs="Arial"/>
        </w:rPr>
        <w:t>тим  циљевима</w:t>
      </w:r>
      <w:proofErr w:type="gramEnd"/>
      <w:r w:rsidR="00532C76" w:rsidRPr="00EE6B74">
        <w:rPr>
          <w:rFonts w:cs="Arial"/>
        </w:rPr>
        <w:t xml:space="preserve">, они ће бити у могућности да боље осмисле одговарајуће програме, а затим и аргументују у корист релевантности сваког од тих програма. </w:t>
      </w:r>
      <w:proofErr w:type="gramStart"/>
      <w:r w:rsidR="00532C76" w:rsidRPr="00EE6B74">
        <w:rPr>
          <w:rFonts w:cs="Arial"/>
        </w:rPr>
        <w:t>На нивоу инфраструктуре, здравље се може дефинисати у смислу појединачних радника у здравственом сектору.</w:t>
      </w:r>
      <w:proofErr w:type="gramEnd"/>
      <w:r w:rsidR="00532C76" w:rsidRPr="00EE6B74">
        <w:rPr>
          <w:rFonts w:cs="Arial"/>
        </w:rPr>
        <w:t xml:space="preserve"> </w:t>
      </w:r>
      <w:proofErr w:type="gramStart"/>
      <w:r w:rsidR="00532C76" w:rsidRPr="00EE6B74">
        <w:rPr>
          <w:rFonts w:cs="Arial"/>
        </w:rPr>
        <w:t>Прецизније, с обзиром да су планирање и евалуација програма инфраструктурне активности, на нивоу инфраструктуре, одлуке се доносе о дефиницији здравља која ће се користити у програму.</w:t>
      </w:r>
      <w:proofErr w:type="gramEnd"/>
      <w:r w:rsidR="00532C76" w:rsidRPr="00EE6B74">
        <w:rPr>
          <w:rFonts w:cs="Arial"/>
        </w:rPr>
        <w:t xml:space="preserve"> Слично томе, начин на који та заједница се види, детермини</w:t>
      </w:r>
      <w:r w:rsidR="00A57D07">
        <w:rPr>
          <w:rFonts w:cs="Arial"/>
        </w:rPr>
        <w:t xml:space="preserve">ше </w:t>
      </w:r>
      <w:proofErr w:type="gramStart"/>
      <w:r w:rsidR="00A57D07">
        <w:rPr>
          <w:rFonts w:cs="Arial"/>
        </w:rPr>
        <w:t>се  на</w:t>
      </w:r>
      <w:proofErr w:type="gramEnd"/>
      <w:r w:rsidR="00A57D07">
        <w:rPr>
          <w:rFonts w:cs="Arial"/>
        </w:rPr>
        <w:t xml:space="preserve"> нивоу инфраструктуре.</w:t>
      </w:r>
    </w:p>
    <w:p w:rsidR="00153287" w:rsidRPr="00153287" w:rsidRDefault="00153287" w:rsidP="00153287"/>
    <w:sectPr w:rsidR="00153287" w:rsidRPr="00153287" w:rsidSect="00F121A0">
      <w:headerReference w:type="default" r:id="rId14"/>
      <w:footerReference w:type="even" r:id="rId15"/>
      <w:footerReference w:type="default" r:id="rId16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D72" w:rsidRDefault="00645D72">
      <w:r>
        <w:separator/>
      </w:r>
    </w:p>
  </w:endnote>
  <w:endnote w:type="continuationSeparator" w:id="0">
    <w:p w:rsidR="00645D72" w:rsidRDefault="00645D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BA4AA2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12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12CB" w:rsidRDefault="001E12CB">
    <w:pPr>
      <w:pStyle w:val="Footer"/>
      <w:ind w:right="360"/>
    </w:pPr>
  </w:p>
  <w:p w:rsidR="001E12CB" w:rsidRDefault="001E12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BA4AA2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12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5AA8">
      <w:rPr>
        <w:rStyle w:val="PageNumber"/>
        <w:noProof/>
      </w:rPr>
      <w:t>1</w:t>
    </w:r>
    <w:r>
      <w:rPr>
        <w:rStyle w:val="PageNumber"/>
      </w:rPr>
      <w:fldChar w:fldCharType="end"/>
    </w:r>
    <w:r w:rsidR="001E12CB">
      <w:rPr>
        <w:rStyle w:val="PageNumber"/>
      </w:rPr>
      <w:t>/</w:t>
    </w:r>
    <w:r>
      <w:rPr>
        <w:rStyle w:val="PageNumber"/>
      </w:rPr>
      <w:fldChar w:fldCharType="begin"/>
    </w:r>
    <w:r w:rsidR="001E12CB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765AA8">
      <w:rPr>
        <w:rStyle w:val="PageNumber"/>
        <w:noProof/>
      </w:rPr>
      <w:t>10</w:t>
    </w:r>
    <w:r>
      <w:rPr>
        <w:rStyle w:val="PageNumber"/>
      </w:rPr>
      <w:fldChar w:fldCharType="end"/>
    </w:r>
  </w:p>
  <w:p w:rsidR="001E12CB" w:rsidRPr="00DB31C6" w:rsidRDefault="00BA4AA2" w:rsidP="00DB31C6">
    <w:pPr>
      <w:pStyle w:val="Footer"/>
      <w:ind w:right="360"/>
      <w:rPr>
        <w:sz w:val="16"/>
        <w:szCs w:val="16"/>
      </w:rPr>
    </w:pPr>
    <w:r>
      <w:rPr>
        <w:noProof/>
        <w:sz w:val="16"/>
        <w:szCs w:val="16"/>
        <w:lang w:val="en-US"/>
      </w:rPr>
      <w:pict>
        <v:line id="Line 16" o:spid="_x0000_s4097" style="position:absolute;left:0;text-align:left;z-index:251658240;visibility:visible" from="0,3.5pt" to="45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QP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"/>
      </w:pict>
    </w:r>
    <w:r w:rsidR="001E12CB" w:rsidRPr="00FC1F3E">
      <w:rPr>
        <w:noProof/>
        <w:sz w:val="16"/>
        <w:szCs w:val="16"/>
        <w:lang w:val="en-US"/>
      </w:rPr>
      <w:t xml:space="preserve">Назив </w:t>
    </w:r>
    <w:r w:rsidR="001E12CB">
      <w:rPr>
        <w:noProof/>
        <w:sz w:val="16"/>
        <w:szCs w:val="16"/>
        <w:lang w:val="sr-Cyrl-CS"/>
      </w:rPr>
      <w:t>области</w:t>
    </w:r>
    <w:r w:rsidR="001E12CB" w:rsidRPr="00FC1F3E">
      <w:rPr>
        <w:noProof/>
        <w:sz w:val="16"/>
        <w:szCs w:val="16"/>
        <w:lang w:val="en-US"/>
      </w:rPr>
      <w:t>: &lt;</w:t>
    </w:r>
    <w:r w:rsidR="00DB31C6" w:rsidRPr="00DB31C6">
      <w:rPr>
        <w:noProof/>
        <w:sz w:val="16"/>
        <w:szCs w:val="16"/>
      </w:rPr>
      <w:t>ТИПОВИ ЕВАЛУАЦИЈЕ И ПИРАМИД</w:t>
    </w:r>
    <w:r w:rsidR="00DB31C6">
      <w:rPr>
        <w:noProof/>
        <w:sz w:val="16"/>
        <w:szCs w:val="16"/>
      </w:rPr>
      <w:t>А</w:t>
    </w:r>
    <w:r w:rsidR="00DB31C6" w:rsidRPr="00DB31C6">
      <w:rPr>
        <w:noProof/>
        <w:sz w:val="16"/>
        <w:szCs w:val="16"/>
      </w:rPr>
      <w:t xml:space="preserve"> ЈАВНОГ ЗДРАВЉ</w:t>
    </w:r>
    <w:r w:rsidR="00DB31C6">
      <w:rPr>
        <w:noProof/>
        <w:sz w:val="16"/>
        <w:szCs w:val="16"/>
      </w:rPr>
      <w:t>А</w:t>
    </w:r>
    <w:r w:rsidR="001E12CB" w:rsidRPr="00FC1F3E">
      <w:rPr>
        <w:noProof/>
        <w:sz w:val="16"/>
        <w:szCs w:val="16"/>
        <w:lang w:val="en-US"/>
      </w:rPr>
      <w:t>&gt;</w:t>
    </w:r>
    <w:r w:rsidR="001E12CB" w:rsidRPr="001653E0">
      <w:rPr>
        <w:sz w:val="16"/>
        <w:szCs w:val="16"/>
        <w:lang w:val="sr-Latn-C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D72" w:rsidRDefault="00645D72">
      <w:r>
        <w:separator/>
      </w:r>
    </w:p>
  </w:footnote>
  <w:footnote w:type="continuationSeparator" w:id="0">
    <w:p w:rsidR="00645D72" w:rsidRDefault="00645D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1E12CB">
    <w:pPr>
      <w:pStyle w:val="Header"/>
      <w:spacing w:before="0"/>
      <w:rPr>
        <w:lang w:val="es-ES"/>
      </w:rPr>
    </w:pPr>
  </w:p>
  <w:p w:rsidR="001C1BB4" w:rsidRPr="00BA7A03" w:rsidRDefault="001C1BB4" w:rsidP="001C1BB4">
    <w:pPr>
      <w:pStyle w:val="Header"/>
      <w:spacing w:before="0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="00153287" w:rsidRPr="00153287">
      <w:rPr>
        <w:sz w:val="16"/>
        <w:szCs w:val="16"/>
        <w:lang w:val="sr-Cyrl-CS"/>
      </w:rPr>
      <w:t>ЕВАЛУАЦИЈА И ПЛАНИРАЊЕ ЗДРАВСТВЕНИХ СЕРВИСА</w:t>
    </w:r>
    <w:r w:rsidRPr="00A35693">
      <w:rPr>
        <w:sz w:val="16"/>
        <w:szCs w:val="16"/>
        <w:lang w:val="sr-Cyrl-C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183070">
      <w:rPr>
        <w:b/>
        <w:sz w:val="16"/>
        <w:szCs w:val="16"/>
        <w:lang w:val="sr-Cyrl-CS"/>
      </w:rPr>
      <w:t>3</w:t>
    </w:r>
  </w:p>
  <w:p w:rsidR="001E12CB" w:rsidRPr="001A31F7" w:rsidRDefault="00BA4AA2" w:rsidP="001A31F7">
    <w:pPr>
      <w:pStyle w:val="Header"/>
      <w:spacing w:before="0"/>
    </w:pPr>
    <w:r>
      <w:rPr>
        <w:noProof/>
        <w:lang w:val="en-US"/>
      </w:rPr>
      <w:pict>
        <v:line id="Line 13" o:spid="_x0000_s4098" style="position:absolute;left:0;text-align:left;z-index:251657216;visibility:visible" from="-2pt,6.3pt" to="45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Sc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6268"/>
    <w:multiLevelType w:val="hybridMultilevel"/>
    <w:tmpl w:val="1AAA4F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6194B"/>
    <w:multiLevelType w:val="hybridMultilevel"/>
    <w:tmpl w:val="EFF678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5E55AB"/>
    <w:multiLevelType w:val="hybridMultilevel"/>
    <w:tmpl w:val="947CE9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F6BB4"/>
    <w:multiLevelType w:val="hybridMultilevel"/>
    <w:tmpl w:val="73AC17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206C6"/>
    <w:multiLevelType w:val="hybridMultilevel"/>
    <w:tmpl w:val="1F94F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76F7A"/>
    <w:multiLevelType w:val="hybridMultilevel"/>
    <w:tmpl w:val="D02260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AB2345"/>
    <w:multiLevelType w:val="hybridMultilevel"/>
    <w:tmpl w:val="441E8F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23D1B"/>
    <w:multiLevelType w:val="hybridMultilevel"/>
    <w:tmpl w:val="DD466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51191"/>
    <w:multiLevelType w:val="hybridMultilevel"/>
    <w:tmpl w:val="567C4A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65174A"/>
    <w:multiLevelType w:val="hybridMultilevel"/>
    <w:tmpl w:val="35485F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1315D8"/>
    <w:multiLevelType w:val="hybridMultilevel"/>
    <w:tmpl w:val="5FB06E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A62168"/>
    <w:multiLevelType w:val="hybridMultilevel"/>
    <w:tmpl w:val="7842E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641AB4"/>
    <w:multiLevelType w:val="hybridMultilevel"/>
    <w:tmpl w:val="318E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D625D5"/>
    <w:multiLevelType w:val="hybridMultilevel"/>
    <w:tmpl w:val="2B3050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4F18AC"/>
    <w:multiLevelType w:val="hybridMultilevel"/>
    <w:tmpl w:val="50927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65748D"/>
    <w:multiLevelType w:val="hybridMultilevel"/>
    <w:tmpl w:val="10CA8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C92254"/>
    <w:multiLevelType w:val="hybridMultilevel"/>
    <w:tmpl w:val="4BA43C5E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397176"/>
    <w:multiLevelType w:val="hybridMultilevel"/>
    <w:tmpl w:val="81A29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2A218C"/>
    <w:multiLevelType w:val="hybridMultilevel"/>
    <w:tmpl w:val="7A2A27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A67B6F"/>
    <w:multiLevelType w:val="hybridMultilevel"/>
    <w:tmpl w:val="3BA202B4"/>
    <w:lvl w:ilvl="0" w:tplc="E1DE802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271A57E8"/>
    <w:multiLevelType w:val="hybridMultilevel"/>
    <w:tmpl w:val="5BECE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7E4C3D"/>
    <w:multiLevelType w:val="hybridMultilevel"/>
    <w:tmpl w:val="F326B1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7D65C0"/>
    <w:multiLevelType w:val="hybridMultilevel"/>
    <w:tmpl w:val="6A9EB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8C0C9E"/>
    <w:multiLevelType w:val="hybridMultilevel"/>
    <w:tmpl w:val="4C6E9B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E6870DC">
      <w:numFmt w:val="bullet"/>
      <w:lvlText w:val="-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3A7092"/>
    <w:multiLevelType w:val="hybridMultilevel"/>
    <w:tmpl w:val="29C4C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6F56B5"/>
    <w:multiLevelType w:val="hybridMultilevel"/>
    <w:tmpl w:val="40521CC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341670C6"/>
    <w:multiLevelType w:val="hybridMultilevel"/>
    <w:tmpl w:val="57303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6D49EC"/>
    <w:multiLevelType w:val="hybridMultilevel"/>
    <w:tmpl w:val="36FCF30A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77B2E5B"/>
    <w:multiLevelType w:val="hybridMultilevel"/>
    <w:tmpl w:val="11F08F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7E33229"/>
    <w:multiLevelType w:val="hybridMultilevel"/>
    <w:tmpl w:val="19D08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A677FA"/>
    <w:multiLevelType w:val="hybridMultilevel"/>
    <w:tmpl w:val="29FC2E32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8FB41E4"/>
    <w:multiLevelType w:val="hybridMultilevel"/>
    <w:tmpl w:val="70803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9D3110A"/>
    <w:multiLevelType w:val="hybridMultilevel"/>
    <w:tmpl w:val="C77EB7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C8E5356"/>
    <w:multiLevelType w:val="hybridMultilevel"/>
    <w:tmpl w:val="81B217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D38570E"/>
    <w:multiLevelType w:val="hybridMultilevel"/>
    <w:tmpl w:val="F642FDE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3D8130FF"/>
    <w:multiLevelType w:val="hybridMultilevel"/>
    <w:tmpl w:val="B3A40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EA75ECC"/>
    <w:multiLevelType w:val="hybridMultilevel"/>
    <w:tmpl w:val="6B423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18C56E0"/>
    <w:multiLevelType w:val="hybridMultilevel"/>
    <w:tmpl w:val="BF5841C4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5754A168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32E09CC"/>
    <w:multiLevelType w:val="hybridMultilevel"/>
    <w:tmpl w:val="F5AC64AA"/>
    <w:lvl w:ilvl="0" w:tplc="E1DE802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4363750A"/>
    <w:multiLevelType w:val="hybridMultilevel"/>
    <w:tmpl w:val="AC560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4787216"/>
    <w:multiLevelType w:val="hybridMultilevel"/>
    <w:tmpl w:val="22C8B6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5F620AE"/>
    <w:multiLevelType w:val="hybridMultilevel"/>
    <w:tmpl w:val="DF681650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6CB120E"/>
    <w:multiLevelType w:val="hybridMultilevel"/>
    <w:tmpl w:val="9ADA30E4"/>
    <w:lvl w:ilvl="0" w:tplc="E1DE802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>
    <w:nsid w:val="48176C41"/>
    <w:multiLevelType w:val="hybridMultilevel"/>
    <w:tmpl w:val="A33E1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97A1244"/>
    <w:multiLevelType w:val="hybridMultilevel"/>
    <w:tmpl w:val="E056EC62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>
    <w:nsid w:val="4EEB4FD2"/>
    <w:multiLevelType w:val="hybridMultilevel"/>
    <w:tmpl w:val="073CF5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07151BA"/>
    <w:multiLevelType w:val="multilevel"/>
    <w:tmpl w:val="466E6D6A"/>
    <w:lvl w:ilvl="0">
      <w:start w:val="1"/>
      <w:numFmt w:val="decimal"/>
      <w:lvlText w:val="%1."/>
      <w:lvlJc w:val="left"/>
      <w:pPr>
        <w:ind w:left="906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86" w:hanging="1800"/>
      </w:pPr>
      <w:rPr>
        <w:rFonts w:hint="default"/>
      </w:rPr>
    </w:lvl>
  </w:abstractNum>
  <w:abstractNum w:abstractNumId="47">
    <w:nsid w:val="50CF699B"/>
    <w:multiLevelType w:val="hybridMultilevel"/>
    <w:tmpl w:val="6FDCD1D6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0D12975"/>
    <w:multiLevelType w:val="hybridMultilevel"/>
    <w:tmpl w:val="38543D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22D5DA0"/>
    <w:multiLevelType w:val="hybridMultilevel"/>
    <w:tmpl w:val="29C23E1C"/>
    <w:lvl w:ilvl="0" w:tplc="E1DE80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2815765"/>
    <w:multiLevelType w:val="hybridMultilevel"/>
    <w:tmpl w:val="1AAA5480"/>
    <w:lvl w:ilvl="0" w:tplc="04090005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5362DCF"/>
    <w:multiLevelType w:val="hybridMultilevel"/>
    <w:tmpl w:val="2A2C2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70366CA"/>
    <w:multiLevelType w:val="hybridMultilevel"/>
    <w:tmpl w:val="539C2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7CF6A87"/>
    <w:multiLevelType w:val="hybridMultilevel"/>
    <w:tmpl w:val="29F03AC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4">
    <w:nsid w:val="598C1313"/>
    <w:multiLevelType w:val="hybridMultilevel"/>
    <w:tmpl w:val="582C0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B662658"/>
    <w:multiLevelType w:val="hybridMultilevel"/>
    <w:tmpl w:val="6192A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D6A6388"/>
    <w:multiLevelType w:val="hybridMultilevel"/>
    <w:tmpl w:val="43F205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E3D278B"/>
    <w:multiLevelType w:val="hybridMultilevel"/>
    <w:tmpl w:val="887EE838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F6A2A25"/>
    <w:multiLevelType w:val="hybridMultilevel"/>
    <w:tmpl w:val="FC0E40AA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0EB532D"/>
    <w:multiLevelType w:val="hybridMultilevel"/>
    <w:tmpl w:val="4B6867FE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>
    <w:nsid w:val="62C603D7"/>
    <w:multiLevelType w:val="hybridMultilevel"/>
    <w:tmpl w:val="141614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5443238"/>
    <w:multiLevelType w:val="hybridMultilevel"/>
    <w:tmpl w:val="747072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9A11F36"/>
    <w:multiLevelType w:val="hybridMultilevel"/>
    <w:tmpl w:val="136EE6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2DC2646"/>
    <w:multiLevelType w:val="hybridMultilevel"/>
    <w:tmpl w:val="07083F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8AA5A8C"/>
    <w:multiLevelType w:val="hybridMultilevel"/>
    <w:tmpl w:val="EE0CC08A"/>
    <w:lvl w:ilvl="0" w:tplc="E1DE80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7C3D0060"/>
    <w:multiLevelType w:val="hybridMultilevel"/>
    <w:tmpl w:val="40BE29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D1305ED"/>
    <w:multiLevelType w:val="hybridMultilevel"/>
    <w:tmpl w:val="736C5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F553963"/>
    <w:multiLevelType w:val="hybridMultilevel"/>
    <w:tmpl w:val="9F9A5D24"/>
    <w:lvl w:ilvl="0" w:tplc="040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8">
    <w:nsid w:val="7F5F27AE"/>
    <w:multiLevelType w:val="hybridMultilevel"/>
    <w:tmpl w:val="EDB4A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5"/>
  </w:num>
  <w:num w:numId="3">
    <w:abstractNumId w:val="23"/>
  </w:num>
  <w:num w:numId="4">
    <w:abstractNumId w:val="3"/>
  </w:num>
  <w:num w:numId="5">
    <w:abstractNumId w:val="9"/>
  </w:num>
  <w:num w:numId="6">
    <w:abstractNumId w:val="59"/>
  </w:num>
  <w:num w:numId="7">
    <w:abstractNumId w:val="18"/>
  </w:num>
  <w:num w:numId="8">
    <w:abstractNumId w:val="34"/>
  </w:num>
  <w:num w:numId="9">
    <w:abstractNumId w:val="6"/>
  </w:num>
  <w:num w:numId="10">
    <w:abstractNumId w:val="44"/>
  </w:num>
  <w:num w:numId="11">
    <w:abstractNumId w:val="53"/>
  </w:num>
  <w:num w:numId="12">
    <w:abstractNumId w:val="67"/>
  </w:num>
  <w:num w:numId="13">
    <w:abstractNumId w:val="39"/>
  </w:num>
  <w:num w:numId="14">
    <w:abstractNumId w:val="55"/>
  </w:num>
  <w:num w:numId="15">
    <w:abstractNumId w:val="4"/>
  </w:num>
  <w:num w:numId="16">
    <w:abstractNumId w:val="17"/>
  </w:num>
  <w:num w:numId="17">
    <w:abstractNumId w:val="66"/>
  </w:num>
  <w:num w:numId="18">
    <w:abstractNumId w:val="11"/>
  </w:num>
  <w:num w:numId="19">
    <w:abstractNumId w:val="24"/>
  </w:num>
  <w:num w:numId="20">
    <w:abstractNumId w:val="22"/>
  </w:num>
  <w:num w:numId="21">
    <w:abstractNumId w:val="29"/>
  </w:num>
  <w:num w:numId="22">
    <w:abstractNumId w:val="12"/>
  </w:num>
  <w:num w:numId="23">
    <w:abstractNumId w:val="14"/>
  </w:num>
  <w:num w:numId="24">
    <w:abstractNumId w:val="36"/>
  </w:num>
  <w:num w:numId="25">
    <w:abstractNumId w:val="15"/>
  </w:num>
  <w:num w:numId="26">
    <w:abstractNumId w:val="51"/>
  </w:num>
  <w:num w:numId="27">
    <w:abstractNumId w:val="43"/>
  </w:num>
  <w:num w:numId="28">
    <w:abstractNumId w:val="7"/>
  </w:num>
  <w:num w:numId="29">
    <w:abstractNumId w:val="52"/>
  </w:num>
  <w:num w:numId="30">
    <w:abstractNumId w:val="20"/>
  </w:num>
  <w:num w:numId="31">
    <w:abstractNumId w:val="35"/>
  </w:num>
  <w:num w:numId="32">
    <w:abstractNumId w:val="68"/>
  </w:num>
  <w:num w:numId="33">
    <w:abstractNumId w:val="64"/>
  </w:num>
  <w:num w:numId="34">
    <w:abstractNumId w:val="49"/>
  </w:num>
  <w:num w:numId="35">
    <w:abstractNumId w:val="38"/>
  </w:num>
  <w:num w:numId="36">
    <w:abstractNumId w:val="19"/>
  </w:num>
  <w:num w:numId="37">
    <w:abstractNumId w:val="42"/>
  </w:num>
  <w:num w:numId="38">
    <w:abstractNumId w:val="41"/>
  </w:num>
  <w:num w:numId="39">
    <w:abstractNumId w:val="46"/>
  </w:num>
  <w:num w:numId="40">
    <w:abstractNumId w:val="27"/>
  </w:num>
  <w:num w:numId="41">
    <w:abstractNumId w:val="30"/>
  </w:num>
  <w:num w:numId="42">
    <w:abstractNumId w:val="58"/>
  </w:num>
  <w:num w:numId="43">
    <w:abstractNumId w:val="16"/>
  </w:num>
  <w:num w:numId="44">
    <w:abstractNumId w:val="37"/>
  </w:num>
  <w:num w:numId="45">
    <w:abstractNumId w:val="57"/>
  </w:num>
  <w:num w:numId="46">
    <w:abstractNumId w:val="47"/>
  </w:num>
  <w:num w:numId="47">
    <w:abstractNumId w:val="31"/>
  </w:num>
  <w:num w:numId="48">
    <w:abstractNumId w:val="54"/>
  </w:num>
  <w:num w:numId="49">
    <w:abstractNumId w:val="26"/>
  </w:num>
  <w:num w:numId="50">
    <w:abstractNumId w:val="1"/>
  </w:num>
  <w:num w:numId="51">
    <w:abstractNumId w:val="13"/>
  </w:num>
  <w:num w:numId="52">
    <w:abstractNumId w:val="8"/>
  </w:num>
  <w:num w:numId="53">
    <w:abstractNumId w:val="60"/>
  </w:num>
  <w:num w:numId="54">
    <w:abstractNumId w:val="5"/>
  </w:num>
  <w:num w:numId="55">
    <w:abstractNumId w:val="2"/>
  </w:num>
  <w:num w:numId="56">
    <w:abstractNumId w:val="62"/>
  </w:num>
  <w:num w:numId="57">
    <w:abstractNumId w:val="21"/>
  </w:num>
  <w:num w:numId="58">
    <w:abstractNumId w:val="56"/>
  </w:num>
  <w:num w:numId="59">
    <w:abstractNumId w:val="65"/>
  </w:num>
  <w:num w:numId="60">
    <w:abstractNumId w:val="28"/>
  </w:num>
  <w:num w:numId="61">
    <w:abstractNumId w:val="0"/>
  </w:num>
  <w:num w:numId="62">
    <w:abstractNumId w:val="10"/>
  </w:num>
  <w:num w:numId="63">
    <w:abstractNumId w:val="63"/>
  </w:num>
  <w:num w:numId="64">
    <w:abstractNumId w:val="61"/>
  </w:num>
  <w:num w:numId="65">
    <w:abstractNumId w:val="48"/>
  </w:num>
  <w:num w:numId="66">
    <w:abstractNumId w:val="32"/>
  </w:num>
  <w:num w:numId="67">
    <w:abstractNumId w:val="33"/>
  </w:num>
  <w:num w:numId="68">
    <w:abstractNumId w:val="40"/>
  </w:num>
  <w:num w:numId="69">
    <w:abstractNumId w:val="25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grammar="clean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1746">
      <o:colormenu v:ext="edit" fillcolor="none [1300]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E3DB8"/>
    <w:rsid w:val="00000620"/>
    <w:rsid w:val="000007BB"/>
    <w:rsid w:val="000018F5"/>
    <w:rsid w:val="0000190C"/>
    <w:rsid w:val="0000412B"/>
    <w:rsid w:val="00005CD4"/>
    <w:rsid w:val="00007861"/>
    <w:rsid w:val="00007F99"/>
    <w:rsid w:val="00011057"/>
    <w:rsid w:val="000118ED"/>
    <w:rsid w:val="00013E60"/>
    <w:rsid w:val="000150F6"/>
    <w:rsid w:val="0001797C"/>
    <w:rsid w:val="00021483"/>
    <w:rsid w:val="000216A4"/>
    <w:rsid w:val="00021851"/>
    <w:rsid w:val="00026717"/>
    <w:rsid w:val="000277ED"/>
    <w:rsid w:val="00031586"/>
    <w:rsid w:val="000323C5"/>
    <w:rsid w:val="00032473"/>
    <w:rsid w:val="00032F2A"/>
    <w:rsid w:val="00033F3A"/>
    <w:rsid w:val="00034B68"/>
    <w:rsid w:val="0003547D"/>
    <w:rsid w:val="000355D9"/>
    <w:rsid w:val="000363B4"/>
    <w:rsid w:val="00037093"/>
    <w:rsid w:val="00042255"/>
    <w:rsid w:val="00042A51"/>
    <w:rsid w:val="000453B5"/>
    <w:rsid w:val="00045A7F"/>
    <w:rsid w:val="0004641B"/>
    <w:rsid w:val="0005080C"/>
    <w:rsid w:val="00051423"/>
    <w:rsid w:val="00053C29"/>
    <w:rsid w:val="0006292B"/>
    <w:rsid w:val="000641B9"/>
    <w:rsid w:val="000647CD"/>
    <w:rsid w:val="00064B81"/>
    <w:rsid w:val="00065E9F"/>
    <w:rsid w:val="00067DD5"/>
    <w:rsid w:val="0007011A"/>
    <w:rsid w:val="000722E0"/>
    <w:rsid w:val="000737A0"/>
    <w:rsid w:val="00073A9E"/>
    <w:rsid w:val="000746D6"/>
    <w:rsid w:val="0007685B"/>
    <w:rsid w:val="00080356"/>
    <w:rsid w:val="00080681"/>
    <w:rsid w:val="00080B47"/>
    <w:rsid w:val="00080E2A"/>
    <w:rsid w:val="00081B07"/>
    <w:rsid w:val="00081E62"/>
    <w:rsid w:val="00082851"/>
    <w:rsid w:val="00083111"/>
    <w:rsid w:val="00083B9B"/>
    <w:rsid w:val="00085A0B"/>
    <w:rsid w:val="00086FCF"/>
    <w:rsid w:val="0009006C"/>
    <w:rsid w:val="00090208"/>
    <w:rsid w:val="000907C2"/>
    <w:rsid w:val="00091697"/>
    <w:rsid w:val="00092CCC"/>
    <w:rsid w:val="00092CFC"/>
    <w:rsid w:val="000932D0"/>
    <w:rsid w:val="000946BA"/>
    <w:rsid w:val="00096301"/>
    <w:rsid w:val="000968AA"/>
    <w:rsid w:val="00096F31"/>
    <w:rsid w:val="00097B15"/>
    <w:rsid w:val="000A02BC"/>
    <w:rsid w:val="000A06F5"/>
    <w:rsid w:val="000A2BB8"/>
    <w:rsid w:val="000A7A57"/>
    <w:rsid w:val="000A7D6F"/>
    <w:rsid w:val="000B08E6"/>
    <w:rsid w:val="000B51F6"/>
    <w:rsid w:val="000B5BFF"/>
    <w:rsid w:val="000B6BB8"/>
    <w:rsid w:val="000C010E"/>
    <w:rsid w:val="000C2279"/>
    <w:rsid w:val="000C4724"/>
    <w:rsid w:val="000C5212"/>
    <w:rsid w:val="000C6784"/>
    <w:rsid w:val="000D0471"/>
    <w:rsid w:val="000D0489"/>
    <w:rsid w:val="000D378D"/>
    <w:rsid w:val="000D4519"/>
    <w:rsid w:val="000D5B04"/>
    <w:rsid w:val="000D5DDA"/>
    <w:rsid w:val="000D6B21"/>
    <w:rsid w:val="000D7B25"/>
    <w:rsid w:val="000E2139"/>
    <w:rsid w:val="000E591C"/>
    <w:rsid w:val="000E6FF3"/>
    <w:rsid w:val="000F1316"/>
    <w:rsid w:val="000F136E"/>
    <w:rsid w:val="000F1BED"/>
    <w:rsid w:val="000F2BE5"/>
    <w:rsid w:val="000F3944"/>
    <w:rsid w:val="000F5C8F"/>
    <w:rsid w:val="000F5D33"/>
    <w:rsid w:val="000F60B2"/>
    <w:rsid w:val="000F675A"/>
    <w:rsid w:val="000F6C4F"/>
    <w:rsid w:val="000F75A2"/>
    <w:rsid w:val="00102487"/>
    <w:rsid w:val="001034F4"/>
    <w:rsid w:val="00104086"/>
    <w:rsid w:val="00104C31"/>
    <w:rsid w:val="0010542E"/>
    <w:rsid w:val="00105ABE"/>
    <w:rsid w:val="00105B16"/>
    <w:rsid w:val="0010662A"/>
    <w:rsid w:val="00111BBD"/>
    <w:rsid w:val="00111F34"/>
    <w:rsid w:val="001123FE"/>
    <w:rsid w:val="0011311E"/>
    <w:rsid w:val="00114587"/>
    <w:rsid w:val="0011516D"/>
    <w:rsid w:val="00115CC2"/>
    <w:rsid w:val="001164B3"/>
    <w:rsid w:val="00116E9D"/>
    <w:rsid w:val="00117E9C"/>
    <w:rsid w:val="00121041"/>
    <w:rsid w:val="001223F5"/>
    <w:rsid w:val="001231EC"/>
    <w:rsid w:val="001279CB"/>
    <w:rsid w:val="00130A23"/>
    <w:rsid w:val="00132133"/>
    <w:rsid w:val="00132957"/>
    <w:rsid w:val="00133FD9"/>
    <w:rsid w:val="0013507A"/>
    <w:rsid w:val="0013545E"/>
    <w:rsid w:val="00136773"/>
    <w:rsid w:val="00136FE5"/>
    <w:rsid w:val="001434C0"/>
    <w:rsid w:val="001502BA"/>
    <w:rsid w:val="00153287"/>
    <w:rsid w:val="00156AB8"/>
    <w:rsid w:val="00160B20"/>
    <w:rsid w:val="001635DC"/>
    <w:rsid w:val="001653E0"/>
    <w:rsid w:val="00165E0E"/>
    <w:rsid w:val="00165E21"/>
    <w:rsid w:val="001679CF"/>
    <w:rsid w:val="00167EDA"/>
    <w:rsid w:val="001716D0"/>
    <w:rsid w:val="0017266A"/>
    <w:rsid w:val="00174C60"/>
    <w:rsid w:val="001752A8"/>
    <w:rsid w:val="00176C1F"/>
    <w:rsid w:val="00180C4F"/>
    <w:rsid w:val="00182981"/>
    <w:rsid w:val="00183070"/>
    <w:rsid w:val="00184ABC"/>
    <w:rsid w:val="0018506F"/>
    <w:rsid w:val="001851FA"/>
    <w:rsid w:val="00185882"/>
    <w:rsid w:val="00186021"/>
    <w:rsid w:val="001862CE"/>
    <w:rsid w:val="001869D8"/>
    <w:rsid w:val="00187FB6"/>
    <w:rsid w:val="001917BA"/>
    <w:rsid w:val="00192DE1"/>
    <w:rsid w:val="001946F4"/>
    <w:rsid w:val="00195A36"/>
    <w:rsid w:val="00195E20"/>
    <w:rsid w:val="001974F6"/>
    <w:rsid w:val="00197A29"/>
    <w:rsid w:val="001A159D"/>
    <w:rsid w:val="001A19A7"/>
    <w:rsid w:val="001A1B3E"/>
    <w:rsid w:val="001A1D22"/>
    <w:rsid w:val="001A31F7"/>
    <w:rsid w:val="001A55F1"/>
    <w:rsid w:val="001B3EFB"/>
    <w:rsid w:val="001B5DEC"/>
    <w:rsid w:val="001B60D8"/>
    <w:rsid w:val="001B76B0"/>
    <w:rsid w:val="001C07F1"/>
    <w:rsid w:val="001C1BB4"/>
    <w:rsid w:val="001C20F2"/>
    <w:rsid w:val="001C6F74"/>
    <w:rsid w:val="001C79E8"/>
    <w:rsid w:val="001D1C1F"/>
    <w:rsid w:val="001D2CEA"/>
    <w:rsid w:val="001D3BDA"/>
    <w:rsid w:val="001E12CB"/>
    <w:rsid w:val="001E2A2C"/>
    <w:rsid w:val="001E2CB6"/>
    <w:rsid w:val="001E318A"/>
    <w:rsid w:val="001F0ACD"/>
    <w:rsid w:val="001F0CCA"/>
    <w:rsid w:val="001F0F73"/>
    <w:rsid w:val="001F25AA"/>
    <w:rsid w:val="001F34AF"/>
    <w:rsid w:val="001F5F0A"/>
    <w:rsid w:val="0020027C"/>
    <w:rsid w:val="00200895"/>
    <w:rsid w:val="002015BF"/>
    <w:rsid w:val="00206727"/>
    <w:rsid w:val="00207763"/>
    <w:rsid w:val="00214030"/>
    <w:rsid w:val="00214E67"/>
    <w:rsid w:val="002159BB"/>
    <w:rsid w:val="00216D8D"/>
    <w:rsid w:val="00216EAE"/>
    <w:rsid w:val="00217FFC"/>
    <w:rsid w:val="00220B07"/>
    <w:rsid w:val="00226F8E"/>
    <w:rsid w:val="002274AD"/>
    <w:rsid w:val="00230277"/>
    <w:rsid w:val="0023150C"/>
    <w:rsid w:val="00231A0F"/>
    <w:rsid w:val="002326F9"/>
    <w:rsid w:val="00234610"/>
    <w:rsid w:val="00236B38"/>
    <w:rsid w:val="00237BFD"/>
    <w:rsid w:val="00237E91"/>
    <w:rsid w:val="002409FF"/>
    <w:rsid w:val="00242965"/>
    <w:rsid w:val="00243783"/>
    <w:rsid w:val="00244123"/>
    <w:rsid w:val="00244180"/>
    <w:rsid w:val="002527B8"/>
    <w:rsid w:val="00253FB6"/>
    <w:rsid w:val="00254816"/>
    <w:rsid w:val="0025497F"/>
    <w:rsid w:val="00255260"/>
    <w:rsid w:val="002572CB"/>
    <w:rsid w:val="00261772"/>
    <w:rsid w:val="0026292F"/>
    <w:rsid w:val="00262D5C"/>
    <w:rsid w:val="00263DEE"/>
    <w:rsid w:val="00265BF8"/>
    <w:rsid w:val="00266FA9"/>
    <w:rsid w:val="002674CB"/>
    <w:rsid w:val="00267719"/>
    <w:rsid w:val="002702CF"/>
    <w:rsid w:val="00270A4E"/>
    <w:rsid w:val="00271072"/>
    <w:rsid w:val="0027177B"/>
    <w:rsid w:val="00272ECA"/>
    <w:rsid w:val="00273472"/>
    <w:rsid w:val="00275612"/>
    <w:rsid w:val="0027624E"/>
    <w:rsid w:val="00280434"/>
    <w:rsid w:val="002811B0"/>
    <w:rsid w:val="00281D21"/>
    <w:rsid w:val="00282C3B"/>
    <w:rsid w:val="002832CF"/>
    <w:rsid w:val="002833AB"/>
    <w:rsid w:val="002836C9"/>
    <w:rsid w:val="002849DB"/>
    <w:rsid w:val="00284EDC"/>
    <w:rsid w:val="00286EC7"/>
    <w:rsid w:val="002912FF"/>
    <w:rsid w:val="002938A6"/>
    <w:rsid w:val="00294983"/>
    <w:rsid w:val="00294D81"/>
    <w:rsid w:val="00295312"/>
    <w:rsid w:val="002A09FF"/>
    <w:rsid w:val="002A185F"/>
    <w:rsid w:val="002A1CEA"/>
    <w:rsid w:val="002A2BEE"/>
    <w:rsid w:val="002A3DA1"/>
    <w:rsid w:val="002A453C"/>
    <w:rsid w:val="002A620D"/>
    <w:rsid w:val="002A69DC"/>
    <w:rsid w:val="002A6DDC"/>
    <w:rsid w:val="002A7AEC"/>
    <w:rsid w:val="002B0B18"/>
    <w:rsid w:val="002B1544"/>
    <w:rsid w:val="002B3E14"/>
    <w:rsid w:val="002B5682"/>
    <w:rsid w:val="002B6A0B"/>
    <w:rsid w:val="002B796D"/>
    <w:rsid w:val="002C061E"/>
    <w:rsid w:val="002C2BA3"/>
    <w:rsid w:val="002C447E"/>
    <w:rsid w:val="002C5E09"/>
    <w:rsid w:val="002C6BA1"/>
    <w:rsid w:val="002D076A"/>
    <w:rsid w:val="002D0F4E"/>
    <w:rsid w:val="002D297A"/>
    <w:rsid w:val="002D2C44"/>
    <w:rsid w:val="002D3376"/>
    <w:rsid w:val="002D3A95"/>
    <w:rsid w:val="002D66C2"/>
    <w:rsid w:val="002D699B"/>
    <w:rsid w:val="002D70AE"/>
    <w:rsid w:val="002E16C1"/>
    <w:rsid w:val="002E1C0A"/>
    <w:rsid w:val="002E3DB8"/>
    <w:rsid w:val="002E5FE8"/>
    <w:rsid w:val="002E723D"/>
    <w:rsid w:val="002F0665"/>
    <w:rsid w:val="002F0D76"/>
    <w:rsid w:val="002F18A5"/>
    <w:rsid w:val="002F25EF"/>
    <w:rsid w:val="002F3248"/>
    <w:rsid w:val="002F3721"/>
    <w:rsid w:val="002F374D"/>
    <w:rsid w:val="002F3E2D"/>
    <w:rsid w:val="002F5912"/>
    <w:rsid w:val="002F666B"/>
    <w:rsid w:val="002F6D5B"/>
    <w:rsid w:val="00303AF1"/>
    <w:rsid w:val="00304C52"/>
    <w:rsid w:val="003054D2"/>
    <w:rsid w:val="00306A97"/>
    <w:rsid w:val="00307E6B"/>
    <w:rsid w:val="003111AC"/>
    <w:rsid w:val="0031509B"/>
    <w:rsid w:val="003161E2"/>
    <w:rsid w:val="003214D1"/>
    <w:rsid w:val="0032212E"/>
    <w:rsid w:val="00323A29"/>
    <w:rsid w:val="003252A6"/>
    <w:rsid w:val="00325C12"/>
    <w:rsid w:val="0032731C"/>
    <w:rsid w:val="00327CF8"/>
    <w:rsid w:val="0033085A"/>
    <w:rsid w:val="00330B57"/>
    <w:rsid w:val="00331833"/>
    <w:rsid w:val="00331B00"/>
    <w:rsid w:val="003328CC"/>
    <w:rsid w:val="003338E9"/>
    <w:rsid w:val="00333B0F"/>
    <w:rsid w:val="00334702"/>
    <w:rsid w:val="00334739"/>
    <w:rsid w:val="00334B72"/>
    <w:rsid w:val="00337195"/>
    <w:rsid w:val="00340CE4"/>
    <w:rsid w:val="00343223"/>
    <w:rsid w:val="00347122"/>
    <w:rsid w:val="00347E97"/>
    <w:rsid w:val="003574C5"/>
    <w:rsid w:val="003606B0"/>
    <w:rsid w:val="00364580"/>
    <w:rsid w:val="0036597B"/>
    <w:rsid w:val="00366AF6"/>
    <w:rsid w:val="003702F4"/>
    <w:rsid w:val="0037080E"/>
    <w:rsid w:val="0037147D"/>
    <w:rsid w:val="00373A41"/>
    <w:rsid w:val="0037497D"/>
    <w:rsid w:val="00375A12"/>
    <w:rsid w:val="003774BE"/>
    <w:rsid w:val="00381429"/>
    <w:rsid w:val="00381509"/>
    <w:rsid w:val="00381AE1"/>
    <w:rsid w:val="00381E2D"/>
    <w:rsid w:val="0038302F"/>
    <w:rsid w:val="003830FC"/>
    <w:rsid w:val="00385179"/>
    <w:rsid w:val="00386DE4"/>
    <w:rsid w:val="0039072A"/>
    <w:rsid w:val="0039360F"/>
    <w:rsid w:val="00393A15"/>
    <w:rsid w:val="0039590A"/>
    <w:rsid w:val="00396507"/>
    <w:rsid w:val="003A00B1"/>
    <w:rsid w:val="003A1BB8"/>
    <w:rsid w:val="003A31B3"/>
    <w:rsid w:val="003A3C3E"/>
    <w:rsid w:val="003A516F"/>
    <w:rsid w:val="003B0E2F"/>
    <w:rsid w:val="003B235B"/>
    <w:rsid w:val="003B4625"/>
    <w:rsid w:val="003B6EC4"/>
    <w:rsid w:val="003B7E69"/>
    <w:rsid w:val="003C1B84"/>
    <w:rsid w:val="003C3020"/>
    <w:rsid w:val="003C31B4"/>
    <w:rsid w:val="003C7881"/>
    <w:rsid w:val="003D02C5"/>
    <w:rsid w:val="003D0E65"/>
    <w:rsid w:val="003D27B4"/>
    <w:rsid w:val="003D2A52"/>
    <w:rsid w:val="003D4519"/>
    <w:rsid w:val="003D5320"/>
    <w:rsid w:val="003D74FA"/>
    <w:rsid w:val="003E09F6"/>
    <w:rsid w:val="003E3FA9"/>
    <w:rsid w:val="003E48E8"/>
    <w:rsid w:val="003E616F"/>
    <w:rsid w:val="003E7B1A"/>
    <w:rsid w:val="003F0BE4"/>
    <w:rsid w:val="003F34EB"/>
    <w:rsid w:val="003F5C9A"/>
    <w:rsid w:val="003F6233"/>
    <w:rsid w:val="003F6FA2"/>
    <w:rsid w:val="003F70BB"/>
    <w:rsid w:val="003F757A"/>
    <w:rsid w:val="003F7951"/>
    <w:rsid w:val="003F7984"/>
    <w:rsid w:val="004016C4"/>
    <w:rsid w:val="004020FD"/>
    <w:rsid w:val="00403668"/>
    <w:rsid w:val="004043C8"/>
    <w:rsid w:val="00404497"/>
    <w:rsid w:val="00404FAD"/>
    <w:rsid w:val="0040634C"/>
    <w:rsid w:val="00406FE2"/>
    <w:rsid w:val="00411BCF"/>
    <w:rsid w:val="00412E4A"/>
    <w:rsid w:val="00413A42"/>
    <w:rsid w:val="00414B62"/>
    <w:rsid w:val="00416F8E"/>
    <w:rsid w:val="00421EC9"/>
    <w:rsid w:val="00421F42"/>
    <w:rsid w:val="00422C67"/>
    <w:rsid w:val="00422E35"/>
    <w:rsid w:val="004234E5"/>
    <w:rsid w:val="00424487"/>
    <w:rsid w:val="004256DC"/>
    <w:rsid w:val="00425DAE"/>
    <w:rsid w:val="0042737F"/>
    <w:rsid w:val="00427A1F"/>
    <w:rsid w:val="00427D87"/>
    <w:rsid w:val="004314CF"/>
    <w:rsid w:val="004322DA"/>
    <w:rsid w:val="004323F3"/>
    <w:rsid w:val="00432F92"/>
    <w:rsid w:val="0043511A"/>
    <w:rsid w:val="004421FC"/>
    <w:rsid w:val="004428F7"/>
    <w:rsid w:val="00442F1F"/>
    <w:rsid w:val="00443405"/>
    <w:rsid w:val="004443DA"/>
    <w:rsid w:val="00444733"/>
    <w:rsid w:val="00444B50"/>
    <w:rsid w:val="00445DEE"/>
    <w:rsid w:val="00445F78"/>
    <w:rsid w:val="004473DC"/>
    <w:rsid w:val="00447914"/>
    <w:rsid w:val="0045151D"/>
    <w:rsid w:val="0045188C"/>
    <w:rsid w:val="00452644"/>
    <w:rsid w:val="00454CA0"/>
    <w:rsid w:val="004554EC"/>
    <w:rsid w:val="00455686"/>
    <w:rsid w:val="00456ACE"/>
    <w:rsid w:val="0045783F"/>
    <w:rsid w:val="0046084F"/>
    <w:rsid w:val="00461E9B"/>
    <w:rsid w:val="00463E34"/>
    <w:rsid w:val="00465AFF"/>
    <w:rsid w:val="0046697A"/>
    <w:rsid w:val="00470796"/>
    <w:rsid w:val="00473E0A"/>
    <w:rsid w:val="00476EA1"/>
    <w:rsid w:val="004805BE"/>
    <w:rsid w:val="0048173D"/>
    <w:rsid w:val="00481785"/>
    <w:rsid w:val="00483A34"/>
    <w:rsid w:val="0048484F"/>
    <w:rsid w:val="00485814"/>
    <w:rsid w:val="00486AD0"/>
    <w:rsid w:val="004874E5"/>
    <w:rsid w:val="00490E05"/>
    <w:rsid w:val="00492C69"/>
    <w:rsid w:val="0049363E"/>
    <w:rsid w:val="00497AF2"/>
    <w:rsid w:val="004A074E"/>
    <w:rsid w:val="004A09B8"/>
    <w:rsid w:val="004A14D6"/>
    <w:rsid w:val="004A4015"/>
    <w:rsid w:val="004A4645"/>
    <w:rsid w:val="004A4AAC"/>
    <w:rsid w:val="004A7564"/>
    <w:rsid w:val="004A7B16"/>
    <w:rsid w:val="004A7ED3"/>
    <w:rsid w:val="004B2D8C"/>
    <w:rsid w:val="004B3966"/>
    <w:rsid w:val="004B3BA5"/>
    <w:rsid w:val="004B4196"/>
    <w:rsid w:val="004B7368"/>
    <w:rsid w:val="004B7EEA"/>
    <w:rsid w:val="004C182D"/>
    <w:rsid w:val="004C1D1B"/>
    <w:rsid w:val="004C4E31"/>
    <w:rsid w:val="004C5834"/>
    <w:rsid w:val="004C6A53"/>
    <w:rsid w:val="004C71CB"/>
    <w:rsid w:val="004D09A2"/>
    <w:rsid w:val="004D1B08"/>
    <w:rsid w:val="004D57DD"/>
    <w:rsid w:val="004D6E60"/>
    <w:rsid w:val="004D77BB"/>
    <w:rsid w:val="004D79AC"/>
    <w:rsid w:val="004E6214"/>
    <w:rsid w:val="004E7765"/>
    <w:rsid w:val="004F04E2"/>
    <w:rsid w:val="004F0511"/>
    <w:rsid w:val="004F0C94"/>
    <w:rsid w:val="004F2684"/>
    <w:rsid w:val="004F65AF"/>
    <w:rsid w:val="00500A7A"/>
    <w:rsid w:val="00500F45"/>
    <w:rsid w:val="00501E8B"/>
    <w:rsid w:val="0050286A"/>
    <w:rsid w:val="0050330A"/>
    <w:rsid w:val="00504DA9"/>
    <w:rsid w:val="0050565A"/>
    <w:rsid w:val="005066C3"/>
    <w:rsid w:val="00506F28"/>
    <w:rsid w:val="00510A19"/>
    <w:rsid w:val="00513089"/>
    <w:rsid w:val="00513C23"/>
    <w:rsid w:val="00513C6C"/>
    <w:rsid w:val="00514204"/>
    <w:rsid w:val="00515BD8"/>
    <w:rsid w:val="00517642"/>
    <w:rsid w:val="00517A71"/>
    <w:rsid w:val="00520245"/>
    <w:rsid w:val="00523BD8"/>
    <w:rsid w:val="0052422A"/>
    <w:rsid w:val="005248A5"/>
    <w:rsid w:val="00524B05"/>
    <w:rsid w:val="00524E81"/>
    <w:rsid w:val="00527715"/>
    <w:rsid w:val="00530EB3"/>
    <w:rsid w:val="00532C76"/>
    <w:rsid w:val="0053318D"/>
    <w:rsid w:val="0053497C"/>
    <w:rsid w:val="0053553C"/>
    <w:rsid w:val="00536459"/>
    <w:rsid w:val="0054199F"/>
    <w:rsid w:val="00544A9A"/>
    <w:rsid w:val="005462B9"/>
    <w:rsid w:val="00547D6C"/>
    <w:rsid w:val="005522D0"/>
    <w:rsid w:val="005524AD"/>
    <w:rsid w:val="00552B30"/>
    <w:rsid w:val="0055371E"/>
    <w:rsid w:val="00553A60"/>
    <w:rsid w:val="00554F97"/>
    <w:rsid w:val="005632AA"/>
    <w:rsid w:val="00564856"/>
    <w:rsid w:val="0056630F"/>
    <w:rsid w:val="00574B88"/>
    <w:rsid w:val="00574F7E"/>
    <w:rsid w:val="0057536F"/>
    <w:rsid w:val="0057620E"/>
    <w:rsid w:val="005814B6"/>
    <w:rsid w:val="00581C9F"/>
    <w:rsid w:val="00583954"/>
    <w:rsid w:val="0058489D"/>
    <w:rsid w:val="005903CA"/>
    <w:rsid w:val="005905FB"/>
    <w:rsid w:val="005909A4"/>
    <w:rsid w:val="005916CA"/>
    <w:rsid w:val="0059295B"/>
    <w:rsid w:val="005929DB"/>
    <w:rsid w:val="00593366"/>
    <w:rsid w:val="00593956"/>
    <w:rsid w:val="00594E13"/>
    <w:rsid w:val="005A1C2C"/>
    <w:rsid w:val="005A21D2"/>
    <w:rsid w:val="005A2BA2"/>
    <w:rsid w:val="005A3923"/>
    <w:rsid w:val="005A3AAE"/>
    <w:rsid w:val="005A3E03"/>
    <w:rsid w:val="005A48A7"/>
    <w:rsid w:val="005A58BE"/>
    <w:rsid w:val="005A65C4"/>
    <w:rsid w:val="005B19D9"/>
    <w:rsid w:val="005B3CE5"/>
    <w:rsid w:val="005B41EA"/>
    <w:rsid w:val="005B64C4"/>
    <w:rsid w:val="005B6827"/>
    <w:rsid w:val="005B6F3D"/>
    <w:rsid w:val="005B7686"/>
    <w:rsid w:val="005C0106"/>
    <w:rsid w:val="005C1ECA"/>
    <w:rsid w:val="005C3D1C"/>
    <w:rsid w:val="005C5E7C"/>
    <w:rsid w:val="005D0C1D"/>
    <w:rsid w:val="005D2379"/>
    <w:rsid w:val="005D24F3"/>
    <w:rsid w:val="005D4E6B"/>
    <w:rsid w:val="005D5C53"/>
    <w:rsid w:val="005D694F"/>
    <w:rsid w:val="005D7A7F"/>
    <w:rsid w:val="005D7EE6"/>
    <w:rsid w:val="005D7FC9"/>
    <w:rsid w:val="005E103C"/>
    <w:rsid w:val="005E14E6"/>
    <w:rsid w:val="005E1B2A"/>
    <w:rsid w:val="005E2323"/>
    <w:rsid w:val="005E4AA5"/>
    <w:rsid w:val="005E5988"/>
    <w:rsid w:val="005E63A2"/>
    <w:rsid w:val="005F0196"/>
    <w:rsid w:val="005F218E"/>
    <w:rsid w:val="005F29B9"/>
    <w:rsid w:val="005F29E2"/>
    <w:rsid w:val="005F621C"/>
    <w:rsid w:val="00601801"/>
    <w:rsid w:val="00601C6D"/>
    <w:rsid w:val="00601EE7"/>
    <w:rsid w:val="006028F3"/>
    <w:rsid w:val="00603265"/>
    <w:rsid w:val="00603B58"/>
    <w:rsid w:val="00603CF4"/>
    <w:rsid w:val="00605FCD"/>
    <w:rsid w:val="0060686E"/>
    <w:rsid w:val="006072A7"/>
    <w:rsid w:val="00607473"/>
    <w:rsid w:val="00607A2F"/>
    <w:rsid w:val="006103AF"/>
    <w:rsid w:val="00610F42"/>
    <w:rsid w:val="00612E87"/>
    <w:rsid w:val="00613CD5"/>
    <w:rsid w:val="00615215"/>
    <w:rsid w:val="00615A5E"/>
    <w:rsid w:val="00616B34"/>
    <w:rsid w:val="00616F67"/>
    <w:rsid w:val="00620A73"/>
    <w:rsid w:val="006225C6"/>
    <w:rsid w:val="0062263A"/>
    <w:rsid w:val="00622675"/>
    <w:rsid w:val="00623062"/>
    <w:rsid w:val="006232D6"/>
    <w:rsid w:val="00626857"/>
    <w:rsid w:val="00627D7A"/>
    <w:rsid w:val="006304F0"/>
    <w:rsid w:val="0063244E"/>
    <w:rsid w:val="00633B0D"/>
    <w:rsid w:val="00633C1C"/>
    <w:rsid w:val="00633F12"/>
    <w:rsid w:val="00635BBD"/>
    <w:rsid w:val="0063601C"/>
    <w:rsid w:val="006360E0"/>
    <w:rsid w:val="00637B92"/>
    <w:rsid w:val="006403B8"/>
    <w:rsid w:val="00640450"/>
    <w:rsid w:val="00640AA7"/>
    <w:rsid w:val="0064305A"/>
    <w:rsid w:val="006449B3"/>
    <w:rsid w:val="00645D72"/>
    <w:rsid w:val="006508FF"/>
    <w:rsid w:val="00652E6E"/>
    <w:rsid w:val="00654F73"/>
    <w:rsid w:val="006565AB"/>
    <w:rsid w:val="0066192B"/>
    <w:rsid w:val="00661D32"/>
    <w:rsid w:val="006642D1"/>
    <w:rsid w:val="00664407"/>
    <w:rsid w:val="0066515C"/>
    <w:rsid w:val="0066523F"/>
    <w:rsid w:val="00665246"/>
    <w:rsid w:val="00667AE2"/>
    <w:rsid w:val="0067001D"/>
    <w:rsid w:val="00670081"/>
    <w:rsid w:val="00670134"/>
    <w:rsid w:val="00677BBE"/>
    <w:rsid w:val="00677C31"/>
    <w:rsid w:val="00681EC7"/>
    <w:rsid w:val="00682AF4"/>
    <w:rsid w:val="006838FD"/>
    <w:rsid w:val="00683A5B"/>
    <w:rsid w:val="0068414A"/>
    <w:rsid w:val="006849A3"/>
    <w:rsid w:val="00694778"/>
    <w:rsid w:val="00695167"/>
    <w:rsid w:val="006956C5"/>
    <w:rsid w:val="00696330"/>
    <w:rsid w:val="00697038"/>
    <w:rsid w:val="00697AE4"/>
    <w:rsid w:val="006A0705"/>
    <w:rsid w:val="006A0825"/>
    <w:rsid w:val="006A22DE"/>
    <w:rsid w:val="006A2675"/>
    <w:rsid w:val="006A383E"/>
    <w:rsid w:val="006A4687"/>
    <w:rsid w:val="006A4CC6"/>
    <w:rsid w:val="006A54D8"/>
    <w:rsid w:val="006A758F"/>
    <w:rsid w:val="006B3BA8"/>
    <w:rsid w:val="006B4C5C"/>
    <w:rsid w:val="006B510B"/>
    <w:rsid w:val="006B5163"/>
    <w:rsid w:val="006C1378"/>
    <w:rsid w:val="006C1522"/>
    <w:rsid w:val="006C188A"/>
    <w:rsid w:val="006C231E"/>
    <w:rsid w:val="006C34C7"/>
    <w:rsid w:val="006C4D7A"/>
    <w:rsid w:val="006C52C0"/>
    <w:rsid w:val="006C564D"/>
    <w:rsid w:val="006C5998"/>
    <w:rsid w:val="006C5AFF"/>
    <w:rsid w:val="006D0871"/>
    <w:rsid w:val="006D28E2"/>
    <w:rsid w:val="006D32A9"/>
    <w:rsid w:val="006D445F"/>
    <w:rsid w:val="006D6261"/>
    <w:rsid w:val="006D693E"/>
    <w:rsid w:val="006D69C1"/>
    <w:rsid w:val="006E06FD"/>
    <w:rsid w:val="006E0BA3"/>
    <w:rsid w:val="006E413D"/>
    <w:rsid w:val="006E5177"/>
    <w:rsid w:val="006E5280"/>
    <w:rsid w:val="006E545C"/>
    <w:rsid w:val="006E54E4"/>
    <w:rsid w:val="006E5992"/>
    <w:rsid w:val="006F1736"/>
    <w:rsid w:val="006F1807"/>
    <w:rsid w:val="006F1A99"/>
    <w:rsid w:val="006F2E56"/>
    <w:rsid w:val="006F31CF"/>
    <w:rsid w:val="006F3725"/>
    <w:rsid w:val="006F4E1D"/>
    <w:rsid w:val="006F7D51"/>
    <w:rsid w:val="007026D3"/>
    <w:rsid w:val="00702784"/>
    <w:rsid w:val="00702A12"/>
    <w:rsid w:val="00702E00"/>
    <w:rsid w:val="00704BA2"/>
    <w:rsid w:val="00704EB2"/>
    <w:rsid w:val="00706BFC"/>
    <w:rsid w:val="00706D0A"/>
    <w:rsid w:val="00710184"/>
    <w:rsid w:val="00710764"/>
    <w:rsid w:val="00712C76"/>
    <w:rsid w:val="00712F12"/>
    <w:rsid w:val="007130A1"/>
    <w:rsid w:val="00713B4F"/>
    <w:rsid w:val="00715640"/>
    <w:rsid w:val="00715BD8"/>
    <w:rsid w:val="007209C9"/>
    <w:rsid w:val="00722941"/>
    <w:rsid w:val="00724158"/>
    <w:rsid w:val="0072466C"/>
    <w:rsid w:val="00724DFF"/>
    <w:rsid w:val="00725260"/>
    <w:rsid w:val="00725C00"/>
    <w:rsid w:val="00725ECD"/>
    <w:rsid w:val="007265BE"/>
    <w:rsid w:val="00727040"/>
    <w:rsid w:val="007275C1"/>
    <w:rsid w:val="00727685"/>
    <w:rsid w:val="00727A1E"/>
    <w:rsid w:val="00730E78"/>
    <w:rsid w:val="007318ED"/>
    <w:rsid w:val="00731EC5"/>
    <w:rsid w:val="007338EE"/>
    <w:rsid w:val="00734032"/>
    <w:rsid w:val="0073627A"/>
    <w:rsid w:val="007367B1"/>
    <w:rsid w:val="00741001"/>
    <w:rsid w:val="007424F5"/>
    <w:rsid w:val="007438F6"/>
    <w:rsid w:val="007456E5"/>
    <w:rsid w:val="00745A0E"/>
    <w:rsid w:val="00745D46"/>
    <w:rsid w:val="0074616E"/>
    <w:rsid w:val="00746A81"/>
    <w:rsid w:val="0075152E"/>
    <w:rsid w:val="00751F5F"/>
    <w:rsid w:val="00751FB3"/>
    <w:rsid w:val="00753FFB"/>
    <w:rsid w:val="00754115"/>
    <w:rsid w:val="00754CC1"/>
    <w:rsid w:val="00756906"/>
    <w:rsid w:val="00757E95"/>
    <w:rsid w:val="00760645"/>
    <w:rsid w:val="00760F7C"/>
    <w:rsid w:val="0076122F"/>
    <w:rsid w:val="00763BDC"/>
    <w:rsid w:val="00763CC6"/>
    <w:rsid w:val="00763D63"/>
    <w:rsid w:val="007640A6"/>
    <w:rsid w:val="007642E9"/>
    <w:rsid w:val="00764763"/>
    <w:rsid w:val="00764EFB"/>
    <w:rsid w:val="00765AA8"/>
    <w:rsid w:val="00766545"/>
    <w:rsid w:val="00766E07"/>
    <w:rsid w:val="00771150"/>
    <w:rsid w:val="0077440D"/>
    <w:rsid w:val="00775395"/>
    <w:rsid w:val="00776471"/>
    <w:rsid w:val="00777B6F"/>
    <w:rsid w:val="0078052A"/>
    <w:rsid w:val="0078334D"/>
    <w:rsid w:val="00784217"/>
    <w:rsid w:val="00784288"/>
    <w:rsid w:val="00784CAC"/>
    <w:rsid w:val="00785091"/>
    <w:rsid w:val="00785479"/>
    <w:rsid w:val="007863B1"/>
    <w:rsid w:val="00786C02"/>
    <w:rsid w:val="00790144"/>
    <w:rsid w:val="0079106E"/>
    <w:rsid w:val="0079446C"/>
    <w:rsid w:val="007957DF"/>
    <w:rsid w:val="0079702A"/>
    <w:rsid w:val="007977FA"/>
    <w:rsid w:val="00797911"/>
    <w:rsid w:val="007A2202"/>
    <w:rsid w:val="007A272D"/>
    <w:rsid w:val="007A355D"/>
    <w:rsid w:val="007A4414"/>
    <w:rsid w:val="007A5AF6"/>
    <w:rsid w:val="007B05D3"/>
    <w:rsid w:val="007B06FC"/>
    <w:rsid w:val="007B2F97"/>
    <w:rsid w:val="007B512B"/>
    <w:rsid w:val="007B5750"/>
    <w:rsid w:val="007B601F"/>
    <w:rsid w:val="007B7C76"/>
    <w:rsid w:val="007C0B10"/>
    <w:rsid w:val="007C208E"/>
    <w:rsid w:val="007C274A"/>
    <w:rsid w:val="007C51E2"/>
    <w:rsid w:val="007C5E62"/>
    <w:rsid w:val="007C7CC2"/>
    <w:rsid w:val="007C7E4F"/>
    <w:rsid w:val="007D16D0"/>
    <w:rsid w:val="007D1E46"/>
    <w:rsid w:val="007D50BE"/>
    <w:rsid w:val="007D55EA"/>
    <w:rsid w:val="007D7D0F"/>
    <w:rsid w:val="007E110B"/>
    <w:rsid w:val="007E167E"/>
    <w:rsid w:val="007E354A"/>
    <w:rsid w:val="007E3A07"/>
    <w:rsid w:val="007E695A"/>
    <w:rsid w:val="007E6A4B"/>
    <w:rsid w:val="007E6C94"/>
    <w:rsid w:val="007F3596"/>
    <w:rsid w:val="00801667"/>
    <w:rsid w:val="00803349"/>
    <w:rsid w:val="00804866"/>
    <w:rsid w:val="00805417"/>
    <w:rsid w:val="008057D1"/>
    <w:rsid w:val="008063F9"/>
    <w:rsid w:val="00806FBC"/>
    <w:rsid w:val="0080739D"/>
    <w:rsid w:val="00807FF5"/>
    <w:rsid w:val="00811CD4"/>
    <w:rsid w:val="00812289"/>
    <w:rsid w:val="0081243E"/>
    <w:rsid w:val="00812FF1"/>
    <w:rsid w:val="00813C1A"/>
    <w:rsid w:val="00814EA0"/>
    <w:rsid w:val="00815DEA"/>
    <w:rsid w:val="00816902"/>
    <w:rsid w:val="0081793B"/>
    <w:rsid w:val="00820BEF"/>
    <w:rsid w:val="00822990"/>
    <w:rsid w:val="00823694"/>
    <w:rsid w:val="008258BD"/>
    <w:rsid w:val="0082631F"/>
    <w:rsid w:val="008270AA"/>
    <w:rsid w:val="008276BF"/>
    <w:rsid w:val="008306CB"/>
    <w:rsid w:val="00831BFC"/>
    <w:rsid w:val="008328DB"/>
    <w:rsid w:val="00834E29"/>
    <w:rsid w:val="00834E88"/>
    <w:rsid w:val="00835412"/>
    <w:rsid w:val="008359DC"/>
    <w:rsid w:val="008378CC"/>
    <w:rsid w:val="008400F3"/>
    <w:rsid w:val="00840BD0"/>
    <w:rsid w:val="00840EC1"/>
    <w:rsid w:val="00842F61"/>
    <w:rsid w:val="008437F0"/>
    <w:rsid w:val="00850AB6"/>
    <w:rsid w:val="008520D0"/>
    <w:rsid w:val="008526E1"/>
    <w:rsid w:val="00853508"/>
    <w:rsid w:val="008553D2"/>
    <w:rsid w:val="00855AE4"/>
    <w:rsid w:val="00862235"/>
    <w:rsid w:val="00862DEA"/>
    <w:rsid w:val="008631A4"/>
    <w:rsid w:val="008635D1"/>
    <w:rsid w:val="0086455C"/>
    <w:rsid w:val="008670D7"/>
    <w:rsid w:val="008708C5"/>
    <w:rsid w:val="00870EFF"/>
    <w:rsid w:val="0087165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826CD"/>
    <w:rsid w:val="00884244"/>
    <w:rsid w:val="0088458B"/>
    <w:rsid w:val="0088494C"/>
    <w:rsid w:val="00885832"/>
    <w:rsid w:val="008869F9"/>
    <w:rsid w:val="008943E1"/>
    <w:rsid w:val="00895A0E"/>
    <w:rsid w:val="008960DA"/>
    <w:rsid w:val="008978A7"/>
    <w:rsid w:val="008A0059"/>
    <w:rsid w:val="008A0E13"/>
    <w:rsid w:val="008A1281"/>
    <w:rsid w:val="008A2B42"/>
    <w:rsid w:val="008A2E39"/>
    <w:rsid w:val="008A34E2"/>
    <w:rsid w:val="008A6086"/>
    <w:rsid w:val="008A684D"/>
    <w:rsid w:val="008B4B85"/>
    <w:rsid w:val="008B7794"/>
    <w:rsid w:val="008B79F4"/>
    <w:rsid w:val="008C0AB6"/>
    <w:rsid w:val="008C41FF"/>
    <w:rsid w:val="008C4BC8"/>
    <w:rsid w:val="008C56D8"/>
    <w:rsid w:val="008C5A41"/>
    <w:rsid w:val="008C5A94"/>
    <w:rsid w:val="008D2581"/>
    <w:rsid w:val="008D3D24"/>
    <w:rsid w:val="008D50C6"/>
    <w:rsid w:val="008D52D8"/>
    <w:rsid w:val="008D6AB7"/>
    <w:rsid w:val="008D6B6C"/>
    <w:rsid w:val="008E28E5"/>
    <w:rsid w:val="008E30BD"/>
    <w:rsid w:val="008E3C8C"/>
    <w:rsid w:val="008E6B01"/>
    <w:rsid w:val="008E6C81"/>
    <w:rsid w:val="008E7A2A"/>
    <w:rsid w:val="008F1B7B"/>
    <w:rsid w:val="008F3281"/>
    <w:rsid w:val="008F3FBB"/>
    <w:rsid w:val="008F572B"/>
    <w:rsid w:val="008F6543"/>
    <w:rsid w:val="00902967"/>
    <w:rsid w:val="00902EA2"/>
    <w:rsid w:val="00903541"/>
    <w:rsid w:val="00906D13"/>
    <w:rsid w:val="00911EB7"/>
    <w:rsid w:val="0091590C"/>
    <w:rsid w:val="00915C7D"/>
    <w:rsid w:val="009217EB"/>
    <w:rsid w:val="00921846"/>
    <w:rsid w:val="009224C2"/>
    <w:rsid w:val="00924E43"/>
    <w:rsid w:val="009251D6"/>
    <w:rsid w:val="00925E52"/>
    <w:rsid w:val="0093017A"/>
    <w:rsid w:val="00930822"/>
    <w:rsid w:val="00930892"/>
    <w:rsid w:val="00930FDB"/>
    <w:rsid w:val="00931382"/>
    <w:rsid w:val="00931C27"/>
    <w:rsid w:val="009328D3"/>
    <w:rsid w:val="009341D6"/>
    <w:rsid w:val="00935AC8"/>
    <w:rsid w:val="00936BE6"/>
    <w:rsid w:val="0094259F"/>
    <w:rsid w:val="00942648"/>
    <w:rsid w:val="00944FB6"/>
    <w:rsid w:val="009454C0"/>
    <w:rsid w:val="00945B72"/>
    <w:rsid w:val="009500F9"/>
    <w:rsid w:val="0095062C"/>
    <w:rsid w:val="00950BF4"/>
    <w:rsid w:val="00951ACF"/>
    <w:rsid w:val="00953E03"/>
    <w:rsid w:val="00954482"/>
    <w:rsid w:val="00960CF2"/>
    <w:rsid w:val="0096219A"/>
    <w:rsid w:val="00962692"/>
    <w:rsid w:val="009642FA"/>
    <w:rsid w:val="00965336"/>
    <w:rsid w:val="009677B4"/>
    <w:rsid w:val="00970F8A"/>
    <w:rsid w:val="00970FF0"/>
    <w:rsid w:val="009718E1"/>
    <w:rsid w:val="00973DCA"/>
    <w:rsid w:val="00974693"/>
    <w:rsid w:val="0097733B"/>
    <w:rsid w:val="00980255"/>
    <w:rsid w:val="00980F1F"/>
    <w:rsid w:val="00981255"/>
    <w:rsid w:val="00984AFF"/>
    <w:rsid w:val="0098597B"/>
    <w:rsid w:val="00985BD2"/>
    <w:rsid w:val="00990686"/>
    <w:rsid w:val="00990708"/>
    <w:rsid w:val="0099074F"/>
    <w:rsid w:val="0099075E"/>
    <w:rsid w:val="00990E0A"/>
    <w:rsid w:val="00992F50"/>
    <w:rsid w:val="00993AEA"/>
    <w:rsid w:val="00994A2E"/>
    <w:rsid w:val="00994EED"/>
    <w:rsid w:val="009A0241"/>
    <w:rsid w:val="009A0D08"/>
    <w:rsid w:val="009A2695"/>
    <w:rsid w:val="009A2E58"/>
    <w:rsid w:val="009A36A6"/>
    <w:rsid w:val="009A3923"/>
    <w:rsid w:val="009A3A56"/>
    <w:rsid w:val="009A67C9"/>
    <w:rsid w:val="009A6F83"/>
    <w:rsid w:val="009B0262"/>
    <w:rsid w:val="009B2552"/>
    <w:rsid w:val="009B2F53"/>
    <w:rsid w:val="009B4744"/>
    <w:rsid w:val="009B4976"/>
    <w:rsid w:val="009B502C"/>
    <w:rsid w:val="009B5C7A"/>
    <w:rsid w:val="009B6199"/>
    <w:rsid w:val="009B6262"/>
    <w:rsid w:val="009B7827"/>
    <w:rsid w:val="009C039E"/>
    <w:rsid w:val="009C1DA9"/>
    <w:rsid w:val="009C372A"/>
    <w:rsid w:val="009C3F03"/>
    <w:rsid w:val="009C4B4A"/>
    <w:rsid w:val="009C5470"/>
    <w:rsid w:val="009C6877"/>
    <w:rsid w:val="009C6DAA"/>
    <w:rsid w:val="009D0BA9"/>
    <w:rsid w:val="009D3875"/>
    <w:rsid w:val="009D3C16"/>
    <w:rsid w:val="009D3C4D"/>
    <w:rsid w:val="009D4811"/>
    <w:rsid w:val="009D49D0"/>
    <w:rsid w:val="009D4FE3"/>
    <w:rsid w:val="009D5CA4"/>
    <w:rsid w:val="009D620C"/>
    <w:rsid w:val="009D78A9"/>
    <w:rsid w:val="009E011D"/>
    <w:rsid w:val="009E0774"/>
    <w:rsid w:val="009E0901"/>
    <w:rsid w:val="009E5768"/>
    <w:rsid w:val="009F0A6B"/>
    <w:rsid w:val="009F5106"/>
    <w:rsid w:val="009F5A75"/>
    <w:rsid w:val="009F60DC"/>
    <w:rsid w:val="00A00C9D"/>
    <w:rsid w:val="00A01401"/>
    <w:rsid w:val="00A02092"/>
    <w:rsid w:val="00A0336A"/>
    <w:rsid w:val="00A035AF"/>
    <w:rsid w:val="00A0557A"/>
    <w:rsid w:val="00A058AE"/>
    <w:rsid w:val="00A06B01"/>
    <w:rsid w:val="00A07D37"/>
    <w:rsid w:val="00A10782"/>
    <w:rsid w:val="00A113C4"/>
    <w:rsid w:val="00A11438"/>
    <w:rsid w:val="00A134BC"/>
    <w:rsid w:val="00A13CC8"/>
    <w:rsid w:val="00A15EFD"/>
    <w:rsid w:val="00A161F6"/>
    <w:rsid w:val="00A16343"/>
    <w:rsid w:val="00A1648D"/>
    <w:rsid w:val="00A16767"/>
    <w:rsid w:val="00A2428B"/>
    <w:rsid w:val="00A245D8"/>
    <w:rsid w:val="00A253A7"/>
    <w:rsid w:val="00A27771"/>
    <w:rsid w:val="00A30CF6"/>
    <w:rsid w:val="00A329C9"/>
    <w:rsid w:val="00A34BA4"/>
    <w:rsid w:val="00A35815"/>
    <w:rsid w:val="00A35ABF"/>
    <w:rsid w:val="00A42701"/>
    <w:rsid w:val="00A42997"/>
    <w:rsid w:val="00A43259"/>
    <w:rsid w:val="00A433BC"/>
    <w:rsid w:val="00A43741"/>
    <w:rsid w:val="00A43B52"/>
    <w:rsid w:val="00A441DF"/>
    <w:rsid w:val="00A4494A"/>
    <w:rsid w:val="00A44CAF"/>
    <w:rsid w:val="00A45A68"/>
    <w:rsid w:val="00A4630F"/>
    <w:rsid w:val="00A51DAF"/>
    <w:rsid w:val="00A533D3"/>
    <w:rsid w:val="00A536D4"/>
    <w:rsid w:val="00A54AEF"/>
    <w:rsid w:val="00A55B62"/>
    <w:rsid w:val="00A57D07"/>
    <w:rsid w:val="00A609FC"/>
    <w:rsid w:val="00A62C87"/>
    <w:rsid w:val="00A652C0"/>
    <w:rsid w:val="00A70B73"/>
    <w:rsid w:val="00A71007"/>
    <w:rsid w:val="00A7201A"/>
    <w:rsid w:val="00A72DE6"/>
    <w:rsid w:val="00A73836"/>
    <w:rsid w:val="00A738E9"/>
    <w:rsid w:val="00A74AC4"/>
    <w:rsid w:val="00A75FD9"/>
    <w:rsid w:val="00A7631C"/>
    <w:rsid w:val="00A80302"/>
    <w:rsid w:val="00A83E42"/>
    <w:rsid w:val="00A84004"/>
    <w:rsid w:val="00A84221"/>
    <w:rsid w:val="00A85EE1"/>
    <w:rsid w:val="00A91196"/>
    <w:rsid w:val="00A9169D"/>
    <w:rsid w:val="00A94BA9"/>
    <w:rsid w:val="00A97CD5"/>
    <w:rsid w:val="00AA15CF"/>
    <w:rsid w:val="00AA1686"/>
    <w:rsid w:val="00AA224D"/>
    <w:rsid w:val="00AA40F8"/>
    <w:rsid w:val="00AA5DE4"/>
    <w:rsid w:val="00AA628A"/>
    <w:rsid w:val="00AA7A68"/>
    <w:rsid w:val="00AB064F"/>
    <w:rsid w:val="00AB3F8D"/>
    <w:rsid w:val="00AB4CD8"/>
    <w:rsid w:val="00AB5D29"/>
    <w:rsid w:val="00AB72E7"/>
    <w:rsid w:val="00AB7697"/>
    <w:rsid w:val="00AC405E"/>
    <w:rsid w:val="00AC5034"/>
    <w:rsid w:val="00AC59B5"/>
    <w:rsid w:val="00AC7840"/>
    <w:rsid w:val="00AC7D8C"/>
    <w:rsid w:val="00AD030C"/>
    <w:rsid w:val="00AD1535"/>
    <w:rsid w:val="00AD25C9"/>
    <w:rsid w:val="00AD2753"/>
    <w:rsid w:val="00AD299E"/>
    <w:rsid w:val="00AD3AAC"/>
    <w:rsid w:val="00AE5A48"/>
    <w:rsid w:val="00AE6600"/>
    <w:rsid w:val="00AE67E1"/>
    <w:rsid w:val="00AF10D4"/>
    <w:rsid w:val="00AF140D"/>
    <w:rsid w:val="00AF334D"/>
    <w:rsid w:val="00AF468C"/>
    <w:rsid w:val="00AF5011"/>
    <w:rsid w:val="00AF597A"/>
    <w:rsid w:val="00AF61BA"/>
    <w:rsid w:val="00AF62C8"/>
    <w:rsid w:val="00AF64EC"/>
    <w:rsid w:val="00B005E3"/>
    <w:rsid w:val="00B023FE"/>
    <w:rsid w:val="00B05DD8"/>
    <w:rsid w:val="00B07406"/>
    <w:rsid w:val="00B11C23"/>
    <w:rsid w:val="00B12CD5"/>
    <w:rsid w:val="00B133E5"/>
    <w:rsid w:val="00B14625"/>
    <w:rsid w:val="00B15329"/>
    <w:rsid w:val="00B17378"/>
    <w:rsid w:val="00B17AEA"/>
    <w:rsid w:val="00B202B4"/>
    <w:rsid w:val="00B223FB"/>
    <w:rsid w:val="00B22792"/>
    <w:rsid w:val="00B23D0E"/>
    <w:rsid w:val="00B24497"/>
    <w:rsid w:val="00B25207"/>
    <w:rsid w:val="00B2732C"/>
    <w:rsid w:val="00B306C4"/>
    <w:rsid w:val="00B32F3A"/>
    <w:rsid w:val="00B33B02"/>
    <w:rsid w:val="00B33BE7"/>
    <w:rsid w:val="00B33C14"/>
    <w:rsid w:val="00B34509"/>
    <w:rsid w:val="00B34A6D"/>
    <w:rsid w:val="00B35598"/>
    <w:rsid w:val="00B35FDB"/>
    <w:rsid w:val="00B41556"/>
    <w:rsid w:val="00B4287C"/>
    <w:rsid w:val="00B430C2"/>
    <w:rsid w:val="00B468EB"/>
    <w:rsid w:val="00B50768"/>
    <w:rsid w:val="00B518C2"/>
    <w:rsid w:val="00B52390"/>
    <w:rsid w:val="00B525CD"/>
    <w:rsid w:val="00B52D71"/>
    <w:rsid w:val="00B54D59"/>
    <w:rsid w:val="00B55BD9"/>
    <w:rsid w:val="00B55E89"/>
    <w:rsid w:val="00B64674"/>
    <w:rsid w:val="00B6504A"/>
    <w:rsid w:val="00B65402"/>
    <w:rsid w:val="00B66076"/>
    <w:rsid w:val="00B66640"/>
    <w:rsid w:val="00B67051"/>
    <w:rsid w:val="00B67E84"/>
    <w:rsid w:val="00B70F8D"/>
    <w:rsid w:val="00B721E4"/>
    <w:rsid w:val="00B72A22"/>
    <w:rsid w:val="00B735D6"/>
    <w:rsid w:val="00B74FEA"/>
    <w:rsid w:val="00B77511"/>
    <w:rsid w:val="00B77F0E"/>
    <w:rsid w:val="00B80433"/>
    <w:rsid w:val="00B8075F"/>
    <w:rsid w:val="00B807AB"/>
    <w:rsid w:val="00B80871"/>
    <w:rsid w:val="00B809DB"/>
    <w:rsid w:val="00B810DC"/>
    <w:rsid w:val="00B82AB9"/>
    <w:rsid w:val="00B82EA7"/>
    <w:rsid w:val="00B84EB1"/>
    <w:rsid w:val="00B85BD9"/>
    <w:rsid w:val="00B85F88"/>
    <w:rsid w:val="00B9157C"/>
    <w:rsid w:val="00B92E19"/>
    <w:rsid w:val="00B95E0E"/>
    <w:rsid w:val="00B96481"/>
    <w:rsid w:val="00B967B8"/>
    <w:rsid w:val="00B96820"/>
    <w:rsid w:val="00B978AE"/>
    <w:rsid w:val="00BA0B83"/>
    <w:rsid w:val="00BA10AB"/>
    <w:rsid w:val="00BA1BE1"/>
    <w:rsid w:val="00BA2FF0"/>
    <w:rsid w:val="00BA3779"/>
    <w:rsid w:val="00BA4AA2"/>
    <w:rsid w:val="00BA5D63"/>
    <w:rsid w:val="00BA6FF6"/>
    <w:rsid w:val="00BA7627"/>
    <w:rsid w:val="00BB1D71"/>
    <w:rsid w:val="00BB376E"/>
    <w:rsid w:val="00BB4095"/>
    <w:rsid w:val="00BB4BD4"/>
    <w:rsid w:val="00BB5668"/>
    <w:rsid w:val="00BB59A5"/>
    <w:rsid w:val="00BB5AC7"/>
    <w:rsid w:val="00BB6865"/>
    <w:rsid w:val="00BB6F32"/>
    <w:rsid w:val="00BB784E"/>
    <w:rsid w:val="00BC171D"/>
    <w:rsid w:val="00BC4A7D"/>
    <w:rsid w:val="00BC50B2"/>
    <w:rsid w:val="00BC66F7"/>
    <w:rsid w:val="00BD1489"/>
    <w:rsid w:val="00BD53E5"/>
    <w:rsid w:val="00BD599C"/>
    <w:rsid w:val="00BD6A6F"/>
    <w:rsid w:val="00BD7691"/>
    <w:rsid w:val="00BE135C"/>
    <w:rsid w:val="00BE2049"/>
    <w:rsid w:val="00BE29FC"/>
    <w:rsid w:val="00BE3618"/>
    <w:rsid w:val="00BE36CB"/>
    <w:rsid w:val="00BE55D7"/>
    <w:rsid w:val="00BE6078"/>
    <w:rsid w:val="00BF1AE5"/>
    <w:rsid w:val="00BF1B11"/>
    <w:rsid w:val="00BF1D14"/>
    <w:rsid w:val="00BF3A64"/>
    <w:rsid w:val="00BF4969"/>
    <w:rsid w:val="00BF5BE9"/>
    <w:rsid w:val="00BF78D8"/>
    <w:rsid w:val="00C01334"/>
    <w:rsid w:val="00C04981"/>
    <w:rsid w:val="00C0717E"/>
    <w:rsid w:val="00C11357"/>
    <w:rsid w:val="00C11A67"/>
    <w:rsid w:val="00C150B0"/>
    <w:rsid w:val="00C154FA"/>
    <w:rsid w:val="00C176DF"/>
    <w:rsid w:val="00C17B6F"/>
    <w:rsid w:val="00C23111"/>
    <w:rsid w:val="00C251A1"/>
    <w:rsid w:val="00C25467"/>
    <w:rsid w:val="00C26357"/>
    <w:rsid w:val="00C3766F"/>
    <w:rsid w:val="00C379B6"/>
    <w:rsid w:val="00C412A2"/>
    <w:rsid w:val="00C41847"/>
    <w:rsid w:val="00C41A09"/>
    <w:rsid w:val="00C42787"/>
    <w:rsid w:val="00C4286D"/>
    <w:rsid w:val="00C42F25"/>
    <w:rsid w:val="00C44647"/>
    <w:rsid w:val="00C4520F"/>
    <w:rsid w:val="00C4678F"/>
    <w:rsid w:val="00C468C8"/>
    <w:rsid w:val="00C50AEA"/>
    <w:rsid w:val="00C50AF8"/>
    <w:rsid w:val="00C50D6B"/>
    <w:rsid w:val="00C513CF"/>
    <w:rsid w:val="00C517EE"/>
    <w:rsid w:val="00C51F21"/>
    <w:rsid w:val="00C53EC2"/>
    <w:rsid w:val="00C540BF"/>
    <w:rsid w:val="00C5421F"/>
    <w:rsid w:val="00C61C13"/>
    <w:rsid w:val="00C62B42"/>
    <w:rsid w:val="00C6447F"/>
    <w:rsid w:val="00C6524C"/>
    <w:rsid w:val="00C6552F"/>
    <w:rsid w:val="00C6672E"/>
    <w:rsid w:val="00C673B8"/>
    <w:rsid w:val="00C67E2C"/>
    <w:rsid w:val="00C70BD9"/>
    <w:rsid w:val="00C724CC"/>
    <w:rsid w:val="00C74B8E"/>
    <w:rsid w:val="00C82912"/>
    <w:rsid w:val="00C830A0"/>
    <w:rsid w:val="00C83388"/>
    <w:rsid w:val="00C85122"/>
    <w:rsid w:val="00C86AF8"/>
    <w:rsid w:val="00C87106"/>
    <w:rsid w:val="00C87175"/>
    <w:rsid w:val="00C87BE8"/>
    <w:rsid w:val="00C87F26"/>
    <w:rsid w:val="00C90FA0"/>
    <w:rsid w:val="00C94C2A"/>
    <w:rsid w:val="00C951DE"/>
    <w:rsid w:val="00CA720B"/>
    <w:rsid w:val="00CA723C"/>
    <w:rsid w:val="00CA7F67"/>
    <w:rsid w:val="00CB02D9"/>
    <w:rsid w:val="00CB22F2"/>
    <w:rsid w:val="00CB29B1"/>
    <w:rsid w:val="00CB2B26"/>
    <w:rsid w:val="00CB35AE"/>
    <w:rsid w:val="00CB4415"/>
    <w:rsid w:val="00CB561B"/>
    <w:rsid w:val="00CC220B"/>
    <w:rsid w:val="00CC458B"/>
    <w:rsid w:val="00CC65E4"/>
    <w:rsid w:val="00CD150F"/>
    <w:rsid w:val="00CD163C"/>
    <w:rsid w:val="00CD2264"/>
    <w:rsid w:val="00CD3579"/>
    <w:rsid w:val="00CD4526"/>
    <w:rsid w:val="00CD5668"/>
    <w:rsid w:val="00CD60A2"/>
    <w:rsid w:val="00CD6AC8"/>
    <w:rsid w:val="00CD7309"/>
    <w:rsid w:val="00CE5B80"/>
    <w:rsid w:val="00CE616A"/>
    <w:rsid w:val="00CF0689"/>
    <w:rsid w:val="00CF2D93"/>
    <w:rsid w:val="00CF3363"/>
    <w:rsid w:val="00CF348A"/>
    <w:rsid w:val="00CF4360"/>
    <w:rsid w:val="00CF54E0"/>
    <w:rsid w:val="00D000D9"/>
    <w:rsid w:val="00D01216"/>
    <w:rsid w:val="00D0153E"/>
    <w:rsid w:val="00D057E2"/>
    <w:rsid w:val="00D106C6"/>
    <w:rsid w:val="00D106DA"/>
    <w:rsid w:val="00D12672"/>
    <w:rsid w:val="00D13703"/>
    <w:rsid w:val="00D13801"/>
    <w:rsid w:val="00D13F4F"/>
    <w:rsid w:val="00D14D08"/>
    <w:rsid w:val="00D1629F"/>
    <w:rsid w:val="00D20280"/>
    <w:rsid w:val="00D20A2C"/>
    <w:rsid w:val="00D212EB"/>
    <w:rsid w:val="00D23BF7"/>
    <w:rsid w:val="00D23F1A"/>
    <w:rsid w:val="00D23FC9"/>
    <w:rsid w:val="00D25668"/>
    <w:rsid w:val="00D26F46"/>
    <w:rsid w:val="00D27476"/>
    <w:rsid w:val="00D31099"/>
    <w:rsid w:val="00D33327"/>
    <w:rsid w:val="00D34423"/>
    <w:rsid w:val="00D362C9"/>
    <w:rsid w:val="00D36A04"/>
    <w:rsid w:val="00D42929"/>
    <w:rsid w:val="00D42F81"/>
    <w:rsid w:val="00D44908"/>
    <w:rsid w:val="00D45799"/>
    <w:rsid w:val="00D46B04"/>
    <w:rsid w:val="00D518A4"/>
    <w:rsid w:val="00D52B08"/>
    <w:rsid w:val="00D53111"/>
    <w:rsid w:val="00D55050"/>
    <w:rsid w:val="00D6226A"/>
    <w:rsid w:val="00D64993"/>
    <w:rsid w:val="00D650D1"/>
    <w:rsid w:val="00D652AA"/>
    <w:rsid w:val="00D676CC"/>
    <w:rsid w:val="00D72497"/>
    <w:rsid w:val="00D73BC7"/>
    <w:rsid w:val="00D73FF5"/>
    <w:rsid w:val="00D82419"/>
    <w:rsid w:val="00D829B0"/>
    <w:rsid w:val="00D85AF5"/>
    <w:rsid w:val="00D86A17"/>
    <w:rsid w:val="00D87CE4"/>
    <w:rsid w:val="00D919FF"/>
    <w:rsid w:val="00D925C3"/>
    <w:rsid w:val="00D92838"/>
    <w:rsid w:val="00D928D2"/>
    <w:rsid w:val="00D9374A"/>
    <w:rsid w:val="00D96026"/>
    <w:rsid w:val="00D96BCE"/>
    <w:rsid w:val="00DA0245"/>
    <w:rsid w:val="00DA09C4"/>
    <w:rsid w:val="00DA2E78"/>
    <w:rsid w:val="00DA387C"/>
    <w:rsid w:val="00DA4F57"/>
    <w:rsid w:val="00DA5281"/>
    <w:rsid w:val="00DA720F"/>
    <w:rsid w:val="00DA7BAD"/>
    <w:rsid w:val="00DB02CD"/>
    <w:rsid w:val="00DB0658"/>
    <w:rsid w:val="00DB0AC2"/>
    <w:rsid w:val="00DB31C6"/>
    <w:rsid w:val="00DB5031"/>
    <w:rsid w:val="00DB656D"/>
    <w:rsid w:val="00DB691A"/>
    <w:rsid w:val="00DB6A29"/>
    <w:rsid w:val="00DB7096"/>
    <w:rsid w:val="00DB774B"/>
    <w:rsid w:val="00DC09BF"/>
    <w:rsid w:val="00DC0E93"/>
    <w:rsid w:val="00DC1AF3"/>
    <w:rsid w:val="00DC275F"/>
    <w:rsid w:val="00DC2BEB"/>
    <w:rsid w:val="00DC472D"/>
    <w:rsid w:val="00DC4E82"/>
    <w:rsid w:val="00DC6CE8"/>
    <w:rsid w:val="00DC7BC4"/>
    <w:rsid w:val="00DC7F32"/>
    <w:rsid w:val="00DD0624"/>
    <w:rsid w:val="00DD116E"/>
    <w:rsid w:val="00DD196F"/>
    <w:rsid w:val="00DD28F1"/>
    <w:rsid w:val="00DD297A"/>
    <w:rsid w:val="00DD3FBF"/>
    <w:rsid w:val="00DD443D"/>
    <w:rsid w:val="00DD79E2"/>
    <w:rsid w:val="00DE0EC1"/>
    <w:rsid w:val="00DE1D71"/>
    <w:rsid w:val="00DE30B9"/>
    <w:rsid w:val="00DE465B"/>
    <w:rsid w:val="00DE51D9"/>
    <w:rsid w:val="00DE5C43"/>
    <w:rsid w:val="00DE60E4"/>
    <w:rsid w:val="00DE6657"/>
    <w:rsid w:val="00DE6A4F"/>
    <w:rsid w:val="00DF1439"/>
    <w:rsid w:val="00DF169A"/>
    <w:rsid w:val="00DF3541"/>
    <w:rsid w:val="00DF5B78"/>
    <w:rsid w:val="00DF6349"/>
    <w:rsid w:val="00E01E47"/>
    <w:rsid w:val="00E024FE"/>
    <w:rsid w:val="00E03F93"/>
    <w:rsid w:val="00E05946"/>
    <w:rsid w:val="00E06835"/>
    <w:rsid w:val="00E07F82"/>
    <w:rsid w:val="00E10083"/>
    <w:rsid w:val="00E131B7"/>
    <w:rsid w:val="00E1329B"/>
    <w:rsid w:val="00E132AD"/>
    <w:rsid w:val="00E15376"/>
    <w:rsid w:val="00E15650"/>
    <w:rsid w:val="00E16A7D"/>
    <w:rsid w:val="00E2100E"/>
    <w:rsid w:val="00E21A49"/>
    <w:rsid w:val="00E2398F"/>
    <w:rsid w:val="00E25E89"/>
    <w:rsid w:val="00E25EE2"/>
    <w:rsid w:val="00E271B6"/>
    <w:rsid w:val="00E3038D"/>
    <w:rsid w:val="00E30592"/>
    <w:rsid w:val="00E31386"/>
    <w:rsid w:val="00E329EA"/>
    <w:rsid w:val="00E33B6F"/>
    <w:rsid w:val="00E343BF"/>
    <w:rsid w:val="00E34AFC"/>
    <w:rsid w:val="00E40C01"/>
    <w:rsid w:val="00E41517"/>
    <w:rsid w:val="00E4411E"/>
    <w:rsid w:val="00E4522B"/>
    <w:rsid w:val="00E4606E"/>
    <w:rsid w:val="00E47FAB"/>
    <w:rsid w:val="00E50111"/>
    <w:rsid w:val="00E5033A"/>
    <w:rsid w:val="00E5057E"/>
    <w:rsid w:val="00E5083F"/>
    <w:rsid w:val="00E510C0"/>
    <w:rsid w:val="00E51EBA"/>
    <w:rsid w:val="00E52C24"/>
    <w:rsid w:val="00E552D0"/>
    <w:rsid w:val="00E55FEF"/>
    <w:rsid w:val="00E560B3"/>
    <w:rsid w:val="00E5783B"/>
    <w:rsid w:val="00E60A12"/>
    <w:rsid w:val="00E63827"/>
    <w:rsid w:val="00E63C65"/>
    <w:rsid w:val="00E64521"/>
    <w:rsid w:val="00E6485F"/>
    <w:rsid w:val="00E64EF0"/>
    <w:rsid w:val="00E67216"/>
    <w:rsid w:val="00E71F2E"/>
    <w:rsid w:val="00E721A8"/>
    <w:rsid w:val="00E73F35"/>
    <w:rsid w:val="00E74501"/>
    <w:rsid w:val="00E764F5"/>
    <w:rsid w:val="00E80AA7"/>
    <w:rsid w:val="00E829F2"/>
    <w:rsid w:val="00E84533"/>
    <w:rsid w:val="00E84B4C"/>
    <w:rsid w:val="00E87B5F"/>
    <w:rsid w:val="00E901B2"/>
    <w:rsid w:val="00E90306"/>
    <w:rsid w:val="00E91892"/>
    <w:rsid w:val="00E93A4C"/>
    <w:rsid w:val="00E9689F"/>
    <w:rsid w:val="00E96F2A"/>
    <w:rsid w:val="00EA109E"/>
    <w:rsid w:val="00EA270F"/>
    <w:rsid w:val="00EA43D6"/>
    <w:rsid w:val="00EA5D92"/>
    <w:rsid w:val="00EA743C"/>
    <w:rsid w:val="00EB14EF"/>
    <w:rsid w:val="00EB2D32"/>
    <w:rsid w:val="00EB6525"/>
    <w:rsid w:val="00EB7012"/>
    <w:rsid w:val="00EB7475"/>
    <w:rsid w:val="00EC1CAC"/>
    <w:rsid w:val="00EC39C3"/>
    <w:rsid w:val="00EC3EF0"/>
    <w:rsid w:val="00ED166E"/>
    <w:rsid w:val="00ED19C4"/>
    <w:rsid w:val="00ED2746"/>
    <w:rsid w:val="00ED2DAD"/>
    <w:rsid w:val="00ED2E6B"/>
    <w:rsid w:val="00ED528D"/>
    <w:rsid w:val="00ED6B43"/>
    <w:rsid w:val="00EE1329"/>
    <w:rsid w:val="00EE1416"/>
    <w:rsid w:val="00EE177F"/>
    <w:rsid w:val="00EE2C8E"/>
    <w:rsid w:val="00EE2DFE"/>
    <w:rsid w:val="00EE4A0A"/>
    <w:rsid w:val="00EE67B8"/>
    <w:rsid w:val="00EE6D43"/>
    <w:rsid w:val="00EE7F77"/>
    <w:rsid w:val="00EF0007"/>
    <w:rsid w:val="00EF0A3F"/>
    <w:rsid w:val="00EF48AA"/>
    <w:rsid w:val="00EF595F"/>
    <w:rsid w:val="00EF5B52"/>
    <w:rsid w:val="00F0524C"/>
    <w:rsid w:val="00F052D7"/>
    <w:rsid w:val="00F0592C"/>
    <w:rsid w:val="00F05C36"/>
    <w:rsid w:val="00F068A9"/>
    <w:rsid w:val="00F10A51"/>
    <w:rsid w:val="00F11D6A"/>
    <w:rsid w:val="00F121A0"/>
    <w:rsid w:val="00F13B5F"/>
    <w:rsid w:val="00F15B4F"/>
    <w:rsid w:val="00F162A3"/>
    <w:rsid w:val="00F1705F"/>
    <w:rsid w:val="00F20A53"/>
    <w:rsid w:val="00F20B9B"/>
    <w:rsid w:val="00F22F6A"/>
    <w:rsid w:val="00F2446A"/>
    <w:rsid w:val="00F25075"/>
    <w:rsid w:val="00F27E7C"/>
    <w:rsid w:val="00F322CB"/>
    <w:rsid w:val="00F34D3C"/>
    <w:rsid w:val="00F35BE4"/>
    <w:rsid w:val="00F3763F"/>
    <w:rsid w:val="00F37E95"/>
    <w:rsid w:val="00F43090"/>
    <w:rsid w:val="00F4326C"/>
    <w:rsid w:val="00F432A3"/>
    <w:rsid w:val="00F43509"/>
    <w:rsid w:val="00F457D4"/>
    <w:rsid w:val="00F467CA"/>
    <w:rsid w:val="00F46B47"/>
    <w:rsid w:val="00F50049"/>
    <w:rsid w:val="00F514BF"/>
    <w:rsid w:val="00F515A8"/>
    <w:rsid w:val="00F52999"/>
    <w:rsid w:val="00F52F2B"/>
    <w:rsid w:val="00F5395D"/>
    <w:rsid w:val="00F539E0"/>
    <w:rsid w:val="00F5454C"/>
    <w:rsid w:val="00F557ED"/>
    <w:rsid w:val="00F57034"/>
    <w:rsid w:val="00F60389"/>
    <w:rsid w:val="00F611B0"/>
    <w:rsid w:val="00F61D25"/>
    <w:rsid w:val="00F620D0"/>
    <w:rsid w:val="00F630B9"/>
    <w:rsid w:val="00F63A2E"/>
    <w:rsid w:val="00F63D4C"/>
    <w:rsid w:val="00F65CE6"/>
    <w:rsid w:val="00F667E8"/>
    <w:rsid w:val="00F70F87"/>
    <w:rsid w:val="00F71682"/>
    <w:rsid w:val="00F73D92"/>
    <w:rsid w:val="00F742D8"/>
    <w:rsid w:val="00F75B66"/>
    <w:rsid w:val="00F76921"/>
    <w:rsid w:val="00F77FDA"/>
    <w:rsid w:val="00F81AF1"/>
    <w:rsid w:val="00F81C32"/>
    <w:rsid w:val="00F81C64"/>
    <w:rsid w:val="00F822BB"/>
    <w:rsid w:val="00F84AB7"/>
    <w:rsid w:val="00F85B71"/>
    <w:rsid w:val="00F87588"/>
    <w:rsid w:val="00F87BCE"/>
    <w:rsid w:val="00F91196"/>
    <w:rsid w:val="00F9128A"/>
    <w:rsid w:val="00F924EC"/>
    <w:rsid w:val="00F95C49"/>
    <w:rsid w:val="00FA086C"/>
    <w:rsid w:val="00FA4C84"/>
    <w:rsid w:val="00FA4F3A"/>
    <w:rsid w:val="00FB0B51"/>
    <w:rsid w:val="00FB5865"/>
    <w:rsid w:val="00FB58B5"/>
    <w:rsid w:val="00FB6755"/>
    <w:rsid w:val="00FB7E8B"/>
    <w:rsid w:val="00FC08D2"/>
    <w:rsid w:val="00FC19A2"/>
    <w:rsid w:val="00FC1F3E"/>
    <w:rsid w:val="00FC451D"/>
    <w:rsid w:val="00FC4825"/>
    <w:rsid w:val="00FC5184"/>
    <w:rsid w:val="00FD0F09"/>
    <w:rsid w:val="00FD1F73"/>
    <w:rsid w:val="00FD2D68"/>
    <w:rsid w:val="00FD300D"/>
    <w:rsid w:val="00FD36EE"/>
    <w:rsid w:val="00FD4738"/>
    <w:rsid w:val="00FD4EB2"/>
    <w:rsid w:val="00FD5133"/>
    <w:rsid w:val="00FD799C"/>
    <w:rsid w:val="00FE013F"/>
    <w:rsid w:val="00FE0C15"/>
    <w:rsid w:val="00FE13E6"/>
    <w:rsid w:val="00FE1874"/>
    <w:rsid w:val="00FE2C1E"/>
    <w:rsid w:val="00FE2D8D"/>
    <w:rsid w:val="00FE3CA2"/>
    <w:rsid w:val="00FE4A36"/>
    <w:rsid w:val="00FE4EDB"/>
    <w:rsid w:val="00FE7C6C"/>
    <w:rsid w:val="00FF0F82"/>
    <w:rsid w:val="00FF2CA2"/>
    <w:rsid w:val="00FF4D0F"/>
    <w:rsid w:val="00FF55DB"/>
    <w:rsid w:val="00FF6984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>
      <o:colormenu v:ext="edit" fillcolor="none [130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List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CF"/>
    <w:pPr>
      <w:spacing w:before="120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pPr>
      <w:spacing w:before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spacing w:before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TableList1">
    <w:name w:val="Table List 1"/>
    <w:basedOn w:val="TableNormal"/>
    <w:rsid w:val="00183070"/>
    <w:pPr>
      <w:spacing w:before="120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3">
  <dgm:title val=""/>
  <dgm:desc val=""/>
  <dgm:catLst>
    <dgm:cat type="accent2" pri="11300"/>
  </dgm:catLst>
  <dgm:styleLbl name="node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shade val="80000"/>
      </a:schemeClr>
      <a:schemeClr val="accent2">
        <a:tint val="7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/>
    <dgm:txEffectClrLst/>
  </dgm:styleLbl>
  <dgm:styleLbl name="ln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9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8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8DC367B-3061-4BE3-B031-24163E1D639E}" type="doc">
      <dgm:prSet loTypeId="urn:microsoft.com/office/officeart/2005/8/layout/pyramid1" loCatId="pyramid" qsTypeId="urn:microsoft.com/office/officeart/2005/8/quickstyle/simple1" qsCatId="simple" csTypeId="urn:microsoft.com/office/officeart/2005/8/colors/accent2_3" csCatId="accent2" phldr="1"/>
      <dgm:spPr/>
    </dgm:pt>
    <dgm:pt modelId="{C5F77709-7F87-4705-8B87-6E7E1BC3A568}">
      <dgm:prSet phldrT="[Text]" custT="1"/>
      <dgm:spPr>
        <a:xfrm>
          <a:off x="1883676" y="0"/>
          <a:ext cx="1241351" cy="685800"/>
        </a:xfrm>
        <a:solidFill>
          <a:srgbClr val="C0504D">
            <a:shade val="8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sr-Cyrl-RS" sz="9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r>
            <a:rPr lang="sr-Cyrl-RS" sz="9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Директне услуге здравствене заштите</a:t>
          </a:r>
        </a:p>
        <a:p>
          <a:endParaRPr lang="sr-Cyrl-RS" sz="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endParaRPr lang="sr-Cyrl-RS" sz="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CF6D1D0-6BDE-4C55-974C-63B969C1F1A2}" type="parTrans" cxnId="{56E734F4-8041-405B-91E1-CD428B6D70DE}">
      <dgm:prSet/>
      <dgm:spPr/>
      <dgm:t>
        <a:bodyPr/>
        <a:lstStyle/>
        <a:p>
          <a:endParaRPr lang="en-US"/>
        </a:p>
      </dgm:t>
    </dgm:pt>
    <dgm:pt modelId="{E184409A-5F85-4C2D-A0D6-A4D5BB1D701B}" type="sibTrans" cxnId="{56E734F4-8041-405B-91E1-CD428B6D70DE}">
      <dgm:prSet/>
      <dgm:spPr/>
      <dgm:t>
        <a:bodyPr/>
        <a:lstStyle/>
        <a:p>
          <a:endParaRPr lang="en-US"/>
        </a:p>
      </dgm:t>
    </dgm:pt>
    <dgm:pt modelId="{9EBC671C-B947-4612-87AC-75122E76ED59}">
      <dgm:prSet phldrT="[Text]" custT="1"/>
      <dgm:spPr>
        <a:xfrm>
          <a:off x="1241351" y="685800"/>
          <a:ext cx="2482702" cy="685800"/>
        </a:xfrm>
        <a:solidFill>
          <a:srgbClr val="C0504D">
            <a:shade val="80000"/>
            <a:hueOff val="-11957"/>
            <a:satOff val="-1341"/>
            <a:lumOff val="856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sr-Cyrl-RS" sz="12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Омогућавање услуга</a:t>
          </a:r>
          <a:endParaRPr lang="en-US" sz="12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2FD452E-014E-4234-811F-7CCEA719C717}" type="parTrans" cxnId="{DAACDAD2-FABC-4487-91F6-C93E9E221D9C}">
      <dgm:prSet/>
      <dgm:spPr/>
      <dgm:t>
        <a:bodyPr/>
        <a:lstStyle/>
        <a:p>
          <a:endParaRPr lang="en-US"/>
        </a:p>
      </dgm:t>
    </dgm:pt>
    <dgm:pt modelId="{2F30DB87-CE91-4EE7-ACF0-E3B8356978FD}" type="sibTrans" cxnId="{DAACDAD2-FABC-4487-91F6-C93E9E221D9C}">
      <dgm:prSet/>
      <dgm:spPr/>
      <dgm:t>
        <a:bodyPr/>
        <a:lstStyle/>
        <a:p>
          <a:endParaRPr lang="en-US"/>
        </a:p>
      </dgm:t>
    </dgm:pt>
    <dgm:pt modelId="{045DBCBE-A242-4D2B-9C94-75089E7B44CC}">
      <dgm:prSet phldrT="[Text]" custT="1"/>
      <dgm:spPr>
        <a:xfrm>
          <a:off x="0" y="2057400"/>
          <a:ext cx="4965405" cy="685800"/>
        </a:xfrm>
        <a:solidFill>
          <a:srgbClr val="C0504D">
            <a:shade val="80000"/>
            <a:hueOff val="-35872"/>
            <a:satOff val="-4024"/>
            <a:lumOff val="2568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sr-Cyrl-RS" sz="12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Инфраструктурне услуге</a:t>
          </a:r>
          <a:endParaRPr lang="en-US" sz="12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B1C3D7D2-FF12-4975-BBBB-68F518B86703}" type="parTrans" cxnId="{AC48F044-AE05-487A-8284-10C315CF2CBF}">
      <dgm:prSet/>
      <dgm:spPr/>
      <dgm:t>
        <a:bodyPr/>
        <a:lstStyle/>
        <a:p>
          <a:endParaRPr lang="en-US"/>
        </a:p>
      </dgm:t>
    </dgm:pt>
    <dgm:pt modelId="{D1F070B4-5BEE-468A-9ADE-A2469FD4E55B}" type="sibTrans" cxnId="{AC48F044-AE05-487A-8284-10C315CF2CBF}">
      <dgm:prSet/>
      <dgm:spPr/>
      <dgm:t>
        <a:bodyPr/>
        <a:lstStyle/>
        <a:p>
          <a:endParaRPr lang="en-US"/>
        </a:p>
      </dgm:t>
    </dgm:pt>
    <dgm:pt modelId="{F49E8411-C83D-446B-9981-47D3A2A80DA2}">
      <dgm:prSet custT="1"/>
      <dgm:spPr>
        <a:xfrm>
          <a:off x="620675" y="1371600"/>
          <a:ext cx="3724053" cy="685800"/>
        </a:xfrm>
        <a:solidFill>
          <a:srgbClr val="C0504D">
            <a:shade val="80000"/>
            <a:hueOff val="-23915"/>
            <a:satOff val="-2683"/>
            <a:lumOff val="1712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sr-Cyrl-RS" sz="12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Услуге базиране на становништву</a:t>
          </a:r>
          <a:endParaRPr lang="en-US" sz="12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07A0FAC1-E391-4809-AA1A-16DE87FDB627}" type="parTrans" cxnId="{1D073652-A562-4F8F-AE74-88F53E54AB46}">
      <dgm:prSet/>
      <dgm:spPr/>
      <dgm:t>
        <a:bodyPr/>
        <a:lstStyle/>
        <a:p>
          <a:endParaRPr lang="en-US"/>
        </a:p>
      </dgm:t>
    </dgm:pt>
    <dgm:pt modelId="{CC95B257-2BE7-4C87-B87B-6E04465AFE7B}" type="sibTrans" cxnId="{1D073652-A562-4F8F-AE74-88F53E54AB46}">
      <dgm:prSet/>
      <dgm:spPr/>
      <dgm:t>
        <a:bodyPr/>
        <a:lstStyle/>
        <a:p>
          <a:endParaRPr lang="en-US"/>
        </a:p>
      </dgm:t>
    </dgm:pt>
    <dgm:pt modelId="{4EF8CAD7-8226-45A4-9945-693B55DD1075}" type="pres">
      <dgm:prSet presAssocID="{B8DC367B-3061-4BE3-B031-24163E1D639E}" presName="Name0" presStyleCnt="0">
        <dgm:presLayoutVars>
          <dgm:dir/>
          <dgm:animLvl val="lvl"/>
          <dgm:resizeHandles val="exact"/>
        </dgm:presLayoutVars>
      </dgm:prSet>
      <dgm:spPr/>
    </dgm:pt>
    <dgm:pt modelId="{CCEE9E6B-A10E-4731-A28D-7E74805C24EC}" type="pres">
      <dgm:prSet presAssocID="{C5F77709-7F87-4705-8B87-6E7E1BC3A568}" presName="Name8" presStyleCnt="0"/>
      <dgm:spPr/>
    </dgm:pt>
    <dgm:pt modelId="{67585A0C-9BA1-4ED2-B264-3D84F472338B}" type="pres">
      <dgm:prSet presAssocID="{C5F77709-7F87-4705-8B87-6E7E1BC3A568}" presName="level" presStyleLbl="node1" presStyleIdx="0" presStyleCnt="4" custScaleX="95194" custLinFactNeighborX="1744" custLinFactNeighborY="0">
        <dgm:presLayoutVars>
          <dgm:chMax val="1"/>
          <dgm:bulletEnabled val="1"/>
        </dgm:presLayoutVars>
      </dgm:prSet>
      <dgm:spPr>
        <a:prstGeom prst="trapezoid">
          <a:avLst>
            <a:gd name="adj" fmla="val 90504"/>
          </a:avLst>
        </a:prstGeom>
      </dgm:spPr>
      <dgm:t>
        <a:bodyPr/>
        <a:lstStyle/>
        <a:p>
          <a:endParaRPr lang="en-US"/>
        </a:p>
      </dgm:t>
    </dgm:pt>
    <dgm:pt modelId="{B7D6C68A-E559-4793-B71C-36E332012D8D}" type="pres">
      <dgm:prSet presAssocID="{C5F77709-7F87-4705-8B87-6E7E1BC3A568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40FB6A1-E154-4BCA-8993-B0C1F3C60547}" type="pres">
      <dgm:prSet presAssocID="{9EBC671C-B947-4612-87AC-75122E76ED59}" presName="Name8" presStyleCnt="0"/>
      <dgm:spPr/>
    </dgm:pt>
    <dgm:pt modelId="{9B55CCE1-6B7B-4E4F-9FEE-3A47440F8DAF}" type="pres">
      <dgm:prSet presAssocID="{9EBC671C-B947-4612-87AC-75122E76ED59}" presName="level" presStyleLbl="node1" presStyleIdx="1" presStyleCnt="4">
        <dgm:presLayoutVars>
          <dgm:chMax val="1"/>
          <dgm:bulletEnabled val="1"/>
        </dgm:presLayoutVars>
      </dgm:prSet>
      <dgm:spPr>
        <a:prstGeom prst="trapezoid">
          <a:avLst>
            <a:gd name="adj" fmla="val 90504"/>
          </a:avLst>
        </a:prstGeom>
      </dgm:spPr>
      <dgm:t>
        <a:bodyPr/>
        <a:lstStyle/>
        <a:p>
          <a:endParaRPr lang="en-US"/>
        </a:p>
      </dgm:t>
    </dgm:pt>
    <dgm:pt modelId="{7AE872BB-4F43-43CC-9897-4DBECF0E9E35}" type="pres">
      <dgm:prSet presAssocID="{9EBC671C-B947-4612-87AC-75122E76ED59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BEAB610-5021-4484-A846-BFEAC089A458}" type="pres">
      <dgm:prSet presAssocID="{F49E8411-C83D-446B-9981-47D3A2A80DA2}" presName="Name8" presStyleCnt="0"/>
      <dgm:spPr/>
    </dgm:pt>
    <dgm:pt modelId="{72B00243-46FD-4025-BCC3-901BEFAA1D52}" type="pres">
      <dgm:prSet presAssocID="{F49E8411-C83D-446B-9981-47D3A2A80DA2}" presName="level" presStyleLbl="node1" presStyleIdx="2" presStyleCnt="4">
        <dgm:presLayoutVars>
          <dgm:chMax val="1"/>
          <dgm:bulletEnabled val="1"/>
        </dgm:presLayoutVars>
      </dgm:prSet>
      <dgm:spPr>
        <a:prstGeom prst="trapezoid">
          <a:avLst>
            <a:gd name="adj" fmla="val 90504"/>
          </a:avLst>
        </a:prstGeom>
      </dgm:spPr>
      <dgm:t>
        <a:bodyPr/>
        <a:lstStyle/>
        <a:p>
          <a:endParaRPr lang="en-US"/>
        </a:p>
      </dgm:t>
    </dgm:pt>
    <dgm:pt modelId="{74598501-BBFE-4905-8218-BBD0A267E894}" type="pres">
      <dgm:prSet presAssocID="{F49E8411-C83D-446B-9981-47D3A2A80DA2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536F5F5-36B4-48B1-A2FA-2C51305360D5}" type="pres">
      <dgm:prSet presAssocID="{045DBCBE-A242-4D2B-9C94-75089E7B44CC}" presName="Name8" presStyleCnt="0"/>
      <dgm:spPr/>
    </dgm:pt>
    <dgm:pt modelId="{1E1969D2-BB3A-4200-8EBB-D3558E475786}" type="pres">
      <dgm:prSet presAssocID="{045DBCBE-A242-4D2B-9C94-75089E7B44CC}" presName="level" presStyleLbl="node1" presStyleIdx="3" presStyleCnt="4">
        <dgm:presLayoutVars>
          <dgm:chMax val="1"/>
          <dgm:bulletEnabled val="1"/>
        </dgm:presLayoutVars>
      </dgm:prSet>
      <dgm:spPr>
        <a:prstGeom prst="trapezoid">
          <a:avLst>
            <a:gd name="adj" fmla="val 90504"/>
          </a:avLst>
        </a:prstGeom>
      </dgm:spPr>
      <dgm:t>
        <a:bodyPr/>
        <a:lstStyle/>
        <a:p>
          <a:endParaRPr lang="en-US"/>
        </a:p>
      </dgm:t>
    </dgm:pt>
    <dgm:pt modelId="{7527B5C3-AEF3-49A2-B106-B59F5571C96E}" type="pres">
      <dgm:prSet presAssocID="{045DBCBE-A242-4D2B-9C94-75089E7B44CC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69AF579-7620-403E-9A54-BEE7AE6F4D16}" type="presOf" srcId="{F49E8411-C83D-446B-9981-47D3A2A80DA2}" destId="{74598501-BBFE-4905-8218-BBD0A267E894}" srcOrd="1" destOrd="0" presId="urn:microsoft.com/office/officeart/2005/8/layout/pyramid1"/>
    <dgm:cxn modelId="{BA654A68-ACDF-4EF1-8CD2-663D4E43C504}" type="presOf" srcId="{045DBCBE-A242-4D2B-9C94-75089E7B44CC}" destId="{7527B5C3-AEF3-49A2-B106-B59F5571C96E}" srcOrd="1" destOrd="0" presId="urn:microsoft.com/office/officeart/2005/8/layout/pyramid1"/>
    <dgm:cxn modelId="{AC48F044-AE05-487A-8284-10C315CF2CBF}" srcId="{B8DC367B-3061-4BE3-B031-24163E1D639E}" destId="{045DBCBE-A242-4D2B-9C94-75089E7B44CC}" srcOrd="3" destOrd="0" parTransId="{B1C3D7D2-FF12-4975-BBBB-68F518B86703}" sibTransId="{D1F070B4-5BEE-468A-9ADE-A2469FD4E55B}"/>
    <dgm:cxn modelId="{F835C6DE-AFFE-4A0C-BD17-780F9F8DDC0A}" type="presOf" srcId="{C5F77709-7F87-4705-8B87-6E7E1BC3A568}" destId="{B7D6C68A-E559-4793-B71C-36E332012D8D}" srcOrd="1" destOrd="0" presId="urn:microsoft.com/office/officeart/2005/8/layout/pyramid1"/>
    <dgm:cxn modelId="{1D073652-A562-4F8F-AE74-88F53E54AB46}" srcId="{B8DC367B-3061-4BE3-B031-24163E1D639E}" destId="{F49E8411-C83D-446B-9981-47D3A2A80DA2}" srcOrd="2" destOrd="0" parTransId="{07A0FAC1-E391-4809-AA1A-16DE87FDB627}" sibTransId="{CC95B257-2BE7-4C87-B87B-6E04465AFE7B}"/>
    <dgm:cxn modelId="{E7033D5E-44BD-414C-A83A-B8F5E8B14C61}" type="presOf" srcId="{9EBC671C-B947-4612-87AC-75122E76ED59}" destId="{9B55CCE1-6B7B-4E4F-9FEE-3A47440F8DAF}" srcOrd="0" destOrd="0" presId="urn:microsoft.com/office/officeart/2005/8/layout/pyramid1"/>
    <dgm:cxn modelId="{F4F2B583-1F2F-46B9-A064-99AB8AB8F6D9}" type="presOf" srcId="{045DBCBE-A242-4D2B-9C94-75089E7B44CC}" destId="{1E1969D2-BB3A-4200-8EBB-D3558E475786}" srcOrd="0" destOrd="0" presId="urn:microsoft.com/office/officeart/2005/8/layout/pyramid1"/>
    <dgm:cxn modelId="{DEDCADA8-CBAB-4D4B-ADD7-E07612191B51}" type="presOf" srcId="{9EBC671C-B947-4612-87AC-75122E76ED59}" destId="{7AE872BB-4F43-43CC-9897-4DBECF0E9E35}" srcOrd="1" destOrd="0" presId="urn:microsoft.com/office/officeart/2005/8/layout/pyramid1"/>
    <dgm:cxn modelId="{9A2478E8-0529-4888-8EAC-F9828E6E0ECE}" type="presOf" srcId="{F49E8411-C83D-446B-9981-47D3A2A80DA2}" destId="{72B00243-46FD-4025-BCC3-901BEFAA1D52}" srcOrd="0" destOrd="0" presId="urn:microsoft.com/office/officeart/2005/8/layout/pyramid1"/>
    <dgm:cxn modelId="{0DB0328A-27E1-47E0-92B9-12CB7A058B62}" type="presOf" srcId="{C5F77709-7F87-4705-8B87-6E7E1BC3A568}" destId="{67585A0C-9BA1-4ED2-B264-3D84F472338B}" srcOrd="0" destOrd="0" presId="urn:microsoft.com/office/officeart/2005/8/layout/pyramid1"/>
    <dgm:cxn modelId="{56E734F4-8041-405B-91E1-CD428B6D70DE}" srcId="{B8DC367B-3061-4BE3-B031-24163E1D639E}" destId="{C5F77709-7F87-4705-8B87-6E7E1BC3A568}" srcOrd="0" destOrd="0" parTransId="{3CF6D1D0-6BDE-4C55-974C-63B969C1F1A2}" sibTransId="{E184409A-5F85-4C2D-A0D6-A4D5BB1D701B}"/>
    <dgm:cxn modelId="{DAACDAD2-FABC-4487-91F6-C93E9E221D9C}" srcId="{B8DC367B-3061-4BE3-B031-24163E1D639E}" destId="{9EBC671C-B947-4612-87AC-75122E76ED59}" srcOrd="1" destOrd="0" parTransId="{E2FD452E-014E-4234-811F-7CCEA719C717}" sibTransId="{2F30DB87-CE91-4EE7-ACF0-E3B8356978FD}"/>
    <dgm:cxn modelId="{53438A1E-D3DF-4765-A0C6-A387673348D8}" type="presOf" srcId="{B8DC367B-3061-4BE3-B031-24163E1D639E}" destId="{4EF8CAD7-8226-45A4-9945-693B55DD1075}" srcOrd="0" destOrd="0" presId="urn:microsoft.com/office/officeart/2005/8/layout/pyramid1"/>
    <dgm:cxn modelId="{B4129DA8-6303-48DF-8F08-9D3CB02858BE}" type="presParOf" srcId="{4EF8CAD7-8226-45A4-9945-693B55DD1075}" destId="{CCEE9E6B-A10E-4731-A28D-7E74805C24EC}" srcOrd="0" destOrd="0" presId="urn:microsoft.com/office/officeart/2005/8/layout/pyramid1"/>
    <dgm:cxn modelId="{C2529D97-6420-4D85-AAF6-07FB26E4E5F6}" type="presParOf" srcId="{CCEE9E6B-A10E-4731-A28D-7E74805C24EC}" destId="{67585A0C-9BA1-4ED2-B264-3D84F472338B}" srcOrd="0" destOrd="0" presId="urn:microsoft.com/office/officeart/2005/8/layout/pyramid1"/>
    <dgm:cxn modelId="{C2B1C416-1E40-40E9-864D-01CEF75B1522}" type="presParOf" srcId="{CCEE9E6B-A10E-4731-A28D-7E74805C24EC}" destId="{B7D6C68A-E559-4793-B71C-36E332012D8D}" srcOrd="1" destOrd="0" presId="urn:microsoft.com/office/officeart/2005/8/layout/pyramid1"/>
    <dgm:cxn modelId="{8F86D529-0406-47F2-AA4A-F9BEA2ECA697}" type="presParOf" srcId="{4EF8CAD7-8226-45A4-9945-693B55DD1075}" destId="{E40FB6A1-E154-4BCA-8993-B0C1F3C60547}" srcOrd="1" destOrd="0" presId="urn:microsoft.com/office/officeart/2005/8/layout/pyramid1"/>
    <dgm:cxn modelId="{FB54F337-BF9C-4015-8C2F-9660276C12DC}" type="presParOf" srcId="{E40FB6A1-E154-4BCA-8993-B0C1F3C60547}" destId="{9B55CCE1-6B7B-4E4F-9FEE-3A47440F8DAF}" srcOrd="0" destOrd="0" presId="urn:microsoft.com/office/officeart/2005/8/layout/pyramid1"/>
    <dgm:cxn modelId="{8B5152A0-CADA-4379-9E1D-8DCE32D3D37F}" type="presParOf" srcId="{E40FB6A1-E154-4BCA-8993-B0C1F3C60547}" destId="{7AE872BB-4F43-43CC-9897-4DBECF0E9E35}" srcOrd="1" destOrd="0" presId="urn:microsoft.com/office/officeart/2005/8/layout/pyramid1"/>
    <dgm:cxn modelId="{A94665BF-10F0-456D-A5BC-7F32DDFC3BAB}" type="presParOf" srcId="{4EF8CAD7-8226-45A4-9945-693B55DD1075}" destId="{DBEAB610-5021-4484-A846-BFEAC089A458}" srcOrd="2" destOrd="0" presId="urn:microsoft.com/office/officeart/2005/8/layout/pyramid1"/>
    <dgm:cxn modelId="{06BBEF5E-358E-4771-A716-540BE028AD38}" type="presParOf" srcId="{DBEAB610-5021-4484-A846-BFEAC089A458}" destId="{72B00243-46FD-4025-BCC3-901BEFAA1D52}" srcOrd="0" destOrd="0" presId="urn:microsoft.com/office/officeart/2005/8/layout/pyramid1"/>
    <dgm:cxn modelId="{0CF60AFD-81A4-42D9-B9E4-E64418D3F437}" type="presParOf" srcId="{DBEAB610-5021-4484-A846-BFEAC089A458}" destId="{74598501-BBFE-4905-8218-BBD0A267E894}" srcOrd="1" destOrd="0" presId="urn:microsoft.com/office/officeart/2005/8/layout/pyramid1"/>
    <dgm:cxn modelId="{4AA7AC44-58A6-406D-97F1-5294CFCB0F4C}" type="presParOf" srcId="{4EF8CAD7-8226-45A4-9945-693B55DD1075}" destId="{C536F5F5-36B4-48B1-A2FA-2C51305360D5}" srcOrd="3" destOrd="0" presId="urn:microsoft.com/office/officeart/2005/8/layout/pyramid1"/>
    <dgm:cxn modelId="{20531C9D-7852-4A75-B13A-B3464BA1A519}" type="presParOf" srcId="{C536F5F5-36B4-48B1-A2FA-2C51305360D5}" destId="{1E1969D2-BB3A-4200-8EBB-D3558E475786}" srcOrd="0" destOrd="0" presId="urn:microsoft.com/office/officeart/2005/8/layout/pyramid1"/>
    <dgm:cxn modelId="{54C59010-0249-46DF-84E8-917316E6539A}" type="presParOf" srcId="{C536F5F5-36B4-48B1-A2FA-2C51305360D5}" destId="{7527B5C3-AEF3-49A2-B106-B59F5571C96E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7585A0C-9BA1-4ED2-B264-3D84F472338B}">
      <dsp:nvSpPr>
        <dsp:cNvPr id="0" name=""/>
        <dsp:cNvSpPr/>
      </dsp:nvSpPr>
      <dsp:spPr>
        <a:xfrm>
          <a:off x="1949102" y="0"/>
          <a:ext cx="1203674" cy="745331"/>
        </a:xfrm>
        <a:prstGeom prst="trapezoid">
          <a:avLst>
            <a:gd name="adj" fmla="val 90504"/>
          </a:avLst>
        </a:prstGeom>
        <a:solidFill>
          <a:srgbClr val="C0504D">
            <a:shade val="8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r-Cyrl-RS" sz="9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9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Директне услуге здравствене заштите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r-Cyrl-RS" sz="6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r-Cyrl-RS" sz="6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949102" y="0"/>
        <a:ext cx="1203674" cy="745331"/>
      </dsp:txXfrm>
    </dsp:sp>
    <dsp:sp modelId="{9B55CCE1-6B7B-4E4F-9FEE-3A47440F8DAF}">
      <dsp:nvSpPr>
        <dsp:cNvPr id="0" name=""/>
        <dsp:cNvSpPr/>
      </dsp:nvSpPr>
      <dsp:spPr>
        <a:xfrm>
          <a:off x="1264443" y="745331"/>
          <a:ext cx="2528887" cy="745331"/>
        </a:xfrm>
        <a:prstGeom prst="trapezoid">
          <a:avLst>
            <a:gd name="adj" fmla="val 90504"/>
          </a:avLst>
        </a:prstGeom>
        <a:solidFill>
          <a:srgbClr val="C0504D">
            <a:shade val="80000"/>
            <a:hueOff val="-11957"/>
            <a:satOff val="-1341"/>
            <a:lumOff val="856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12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Омогућавање услуга</a:t>
          </a:r>
          <a:endParaRPr lang="en-US" sz="12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706999" y="745331"/>
        <a:ext cx="1643776" cy="745331"/>
      </dsp:txXfrm>
    </dsp:sp>
    <dsp:sp modelId="{72B00243-46FD-4025-BCC3-901BEFAA1D52}">
      <dsp:nvSpPr>
        <dsp:cNvPr id="0" name=""/>
        <dsp:cNvSpPr/>
      </dsp:nvSpPr>
      <dsp:spPr>
        <a:xfrm>
          <a:off x="632221" y="1490662"/>
          <a:ext cx="3793331" cy="745331"/>
        </a:xfrm>
        <a:prstGeom prst="trapezoid">
          <a:avLst>
            <a:gd name="adj" fmla="val 90504"/>
          </a:avLst>
        </a:prstGeom>
        <a:solidFill>
          <a:srgbClr val="C0504D">
            <a:shade val="80000"/>
            <a:hueOff val="-23915"/>
            <a:satOff val="-2683"/>
            <a:lumOff val="1712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12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Услуге базиране на становништву</a:t>
          </a:r>
          <a:endParaRPr lang="en-US" sz="12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296054" y="1490662"/>
        <a:ext cx="2465665" cy="745331"/>
      </dsp:txXfrm>
    </dsp:sp>
    <dsp:sp modelId="{1E1969D2-BB3A-4200-8EBB-D3558E475786}">
      <dsp:nvSpPr>
        <dsp:cNvPr id="0" name=""/>
        <dsp:cNvSpPr/>
      </dsp:nvSpPr>
      <dsp:spPr>
        <a:xfrm>
          <a:off x="0" y="2235993"/>
          <a:ext cx="5057775" cy="745331"/>
        </a:xfrm>
        <a:prstGeom prst="trapezoid">
          <a:avLst>
            <a:gd name="adj" fmla="val 90504"/>
          </a:avLst>
        </a:prstGeom>
        <a:solidFill>
          <a:srgbClr val="C0504D">
            <a:shade val="80000"/>
            <a:hueOff val="-35872"/>
            <a:satOff val="-4024"/>
            <a:lumOff val="2568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12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Инфраструктурне услуге</a:t>
          </a:r>
          <a:endParaRPr lang="en-US" sz="12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885110" y="2235993"/>
        <a:ext cx="3287553" cy="7453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AC421-A658-41CB-9CF4-86EC45F6C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predavanje.dot</Template>
  <TotalTime>126</TotalTime>
  <Pages>10</Pages>
  <Words>4233</Words>
  <Characters>24129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28306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Jelena Dimitrijevic</cp:lastModifiedBy>
  <cp:revision>7</cp:revision>
  <cp:lastPrinted>2018-11-04T14:47:00Z</cp:lastPrinted>
  <dcterms:created xsi:type="dcterms:W3CDTF">2019-05-13T22:21:00Z</dcterms:created>
  <dcterms:modified xsi:type="dcterms:W3CDTF">2019-05-14T12:59:00Z</dcterms:modified>
</cp:coreProperties>
</file>